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14:paraId="479C3766" w14:textId="77777777" w:rsidTr="00E70645">
        <w:tc>
          <w:tcPr>
            <w:tcW w:w="5103" w:type="dxa"/>
          </w:tcPr>
          <w:p w14:paraId="3BC675A6" w14:textId="77777777" w:rsidR="0006079E" w:rsidRDefault="0006079E" w:rsidP="0006079E">
            <w:pPr>
              <w:tabs>
                <w:tab w:val="left" w:pos="5070"/>
                <w:tab w:val="left" w:pos="5366"/>
                <w:tab w:val="left" w:pos="6771"/>
                <w:tab w:val="left" w:pos="7363"/>
              </w:tabs>
              <w:jc w:val="both"/>
            </w:pPr>
            <w:r>
              <w:t>PATVIRTINTA</w:t>
            </w:r>
          </w:p>
        </w:tc>
      </w:tr>
      <w:tr w:rsidR="0006079E" w14:paraId="37039F64" w14:textId="77777777" w:rsidTr="00E70645">
        <w:tc>
          <w:tcPr>
            <w:tcW w:w="5103" w:type="dxa"/>
          </w:tcPr>
          <w:p w14:paraId="4F061294" w14:textId="77777777" w:rsidR="0006079E" w:rsidRDefault="0006079E" w:rsidP="0006079E">
            <w:r>
              <w:t>Klaipėdos miesto savivaldybės</w:t>
            </w:r>
            <w:r w:rsidR="00343D40">
              <w:t xml:space="preserve"> tarybos</w:t>
            </w:r>
          </w:p>
        </w:tc>
      </w:tr>
      <w:bookmarkStart w:id="0" w:name="registravimoDataIlga"/>
      <w:tr w:rsidR="00343D40" w14:paraId="16626A75" w14:textId="77777777" w:rsidTr="00E70645">
        <w:trPr>
          <w:trHeight w:val="304"/>
        </w:trPr>
        <w:tc>
          <w:tcPr>
            <w:tcW w:w="5103" w:type="dxa"/>
          </w:tcPr>
          <w:p w14:paraId="2106A130" w14:textId="77777777" w:rsidR="00343D40" w:rsidRDefault="00343D40" w:rsidP="00343D40">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r>
              <w:rPr>
                <w:noProof/>
              </w:rPr>
              <w:t xml:space="preserve"> </w:t>
            </w:r>
            <w:r>
              <w:t xml:space="preserve">sprendimu Nr. </w:t>
            </w:r>
            <w:bookmarkStart w:id="1" w:name="registravimoNr"/>
            <w:r>
              <w:t>.</w:t>
            </w:r>
            <w:bookmarkEnd w:id="1"/>
          </w:p>
        </w:tc>
      </w:tr>
    </w:tbl>
    <w:p w14:paraId="589AD0EF" w14:textId="77777777" w:rsidR="00832CC9" w:rsidRPr="00F72A1E" w:rsidRDefault="00832CC9" w:rsidP="0006079E">
      <w:pPr>
        <w:jc w:val="center"/>
      </w:pPr>
    </w:p>
    <w:p w14:paraId="464E5723" w14:textId="77777777" w:rsidR="00832CC9" w:rsidRPr="00F72A1E" w:rsidRDefault="00832CC9" w:rsidP="0006079E">
      <w:pPr>
        <w:jc w:val="center"/>
      </w:pPr>
    </w:p>
    <w:p w14:paraId="23C13FC2" w14:textId="77777777" w:rsidR="00B9596B" w:rsidRPr="00620B19" w:rsidRDefault="00B9596B" w:rsidP="00B9596B">
      <w:pPr>
        <w:tabs>
          <w:tab w:val="left" w:pos="14656"/>
        </w:tabs>
        <w:jc w:val="center"/>
        <w:rPr>
          <w:b/>
          <w:sz w:val="20"/>
          <w:lang w:eastAsia="lt-LT"/>
        </w:rPr>
      </w:pPr>
      <w:r>
        <w:rPr>
          <w:b/>
          <w:lang w:eastAsia="lt-LT"/>
        </w:rPr>
        <w:t>K</w:t>
      </w:r>
      <w:r w:rsidRPr="00620B19">
        <w:rPr>
          <w:b/>
          <w:lang w:eastAsia="lt-LT"/>
        </w:rPr>
        <w:t>LAIPĖDOS</w:t>
      </w:r>
      <w:r>
        <w:rPr>
          <w:b/>
          <w:lang w:eastAsia="lt-LT"/>
        </w:rPr>
        <w:t xml:space="preserve"> PEDAGOGŲ ŠVIETIMO IR KULTŪROS CENTRO</w:t>
      </w:r>
    </w:p>
    <w:p w14:paraId="47B7C460" w14:textId="77777777" w:rsidR="00B9596B" w:rsidRDefault="00B9596B" w:rsidP="00B9596B">
      <w:pPr>
        <w:jc w:val="center"/>
        <w:rPr>
          <w:b/>
          <w:bCs/>
          <w:lang w:eastAsia="lt-LT"/>
        </w:rPr>
      </w:pPr>
      <w:r w:rsidRPr="7B17E369">
        <w:rPr>
          <w:b/>
          <w:bCs/>
          <w:lang w:eastAsia="lt-LT"/>
        </w:rPr>
        <w:t>2022 METŲ VEIKLOS ATASKAITA</w:t>
      </w:r>
    </w:p>
    <w:p w14:paraId="6FF57AFA" w14:textId="77777777" w:rsidR="00B9596B" w:rsidRPr="00F72A1E" w:rsidRDefault="00B9596B" w:rsidP="00B9596B">
      <w:pPr>
        <w:jc w:val="center"/>
      </w:pPr>
    </w:p>
    <w:p w14:paraId="377BBC6F" w14:textId="77777777" w:rsidR="00B9596B" w:rsidRPr="00903F12" w:rsidRDefault="00B9596B" w:rsidP="00B9596B">
      <w:pPr>
        <w:ind w:firstLine="603"/>
        <w:jc w:val="both"/>
      </w:pPr>
      <w:r w:rsidRPr="00903F12">
        <w:t>Klaipėdos miesto pedagogų švietimo ir kultūros centro (toliau – PŠKC) pagrindinė veikla – teikti Klaipėdos miesto savivaldybės švietimo įstaigų vadovams, jų pavaduotojams ugdymui, ugdymą organizuojantiems skyrių vedėjams, mokytojams, pagalbos mokiniui specialistams ir (ar) mokykloms informacinę, konsultacinę, kvalifikacijos tobulinimo ir kitą pagalbą. 2022-12-31 duomenimis</w:t>
      </w:r>
      <w:r>
        <w:t>,</w:t>
      </w:r>
      <w:r w:rsidRPr="00903F12">
        <w:t xml:space="preserve"> PŠKC dirbo 12 darbuotojų (15,75 etato). </w:t>
      </w:r>
    </w:p>
    <w:p w14:paraId="20F8D2A8" w14:textId="77777777" w:rsidR="00B9596B" w:rsidRPr="00903F12" w:rsidRDefault="00B9596B" w:rsidP="00B9596B">
      <w:pPr>
        <w:ind w:firstLine="603"/>
        <w:jc w:val="both"/>
      </w:pPr>
      <w:r w:rsidRPr="00903F12">
        <w:t>Praėjusiais metais PŠKC veikė vadovaudamasi 2022–2024 m. strateginiu planu (toliau – Strateginis planas) ir 2022 m. veiklos planu (toliau – Veiklos planas). 2022 m. buvo numatyta įgyvendinti prioritetą – Kompetencijų tobulinimas, įgyvendinant šiuolaikinį ugdymo / mokymo turinį. Prioritetui įgyvendinti Strateginiame ir Veiklos planuose buvo iškelti konkretūs veiklos tikslai ir uždaviniai, numatytos priemonės laukiamam rezultatui pasiekti.</w:t>
      </w:r>
    </w:p>
    <w:p w14:paraId="04B632D4" w14:textId="77777777" w:rsidR="00B9596B" w:rsidRPr="00903F12" w:rsidRDefault="00B9596B" w:rsidP="00B9596B">
      <w:pPr>
        <w:ind w:firstLine="603"/>
        <w:jc w:val="both"/>
      </w:pPr>
      <w:r w:rsidRPr="00903F12">
        <w:t>Siekiant Strateginio plano pirmojo tikslo – užtikrinti mokytojų profesinio tobulėjimo paslaugų kokybę ir prieinamumą – PŠKC veikla buvo kryptingai planuojama ir organizuojama, atsižvelgiant į Klaipėdos miesto savivaldybės švietimo įstaigų mokytojų profesinio tobulėjimo poreikius ir teikiamų paslaugų kokybės gerinimą, padedant ir mokant mokytojus įvaldyti įvairias skaitmenines informacines aplinkas. Tikslui pasiekti buvo vykdomi du Veiklos plano uždaviniai:</w:t>
      </w:r>
    </w:p>
    <w:p w14:paraId="5CC8A08B" w14:textId="77777777" w:rsidR="00B9596B" w:rsidRPr="00903F12" w:rsidRDefault="00B9596B" w:rsidP="00B9596B">
      <w:pPr>
        <w:ind w:firstLine="603"/>
        <w:jc w:val="both"/>
      </w:pPr>
      <w:r w:rsidRPr="00903F12">
        <w:t xml:space="preserve"> – įgyvendinant pirmąjį uždavinį – įgyvendinti Mokytojų tęstinio profesinio tobulinimo priemonių planą, atsižvelgiant į mokytojų asmeninio ir profesinio tobulėjimo poreikius – pagal Klaipėdos miesto savivaldybės bendrojo ugdymo mokyklų įsivertinimo metu įvardintas tobulintinas sritis buvo parengta </w:t>
      </w:r>
      <w:r w:rsidRPr="00EE69A2">
        <w:t>Pedagogų kvalifikacijos tobulinimo pasiūlos programa</w:t>
      </w:r>
      <w:r w:rsidRPr="00903F12">
        <w:t>, kurioje rekomenduoti 541 Profesinių kompetencijų tobulinimo (toliau – PKT) renginiai (2021 m. – 494). Iš viso per 2022 m. suorganizuoti 958 PKT renginiai (2021 m. – 716), kurių bendra trukmė – 3741 akad. val. (2021 m. – 3 819 akad. val.). Minėtuose PKT renginiuose 23865 mokytojai (2021 m. – 23233) tobulino asmeninio tobulėjimo ir mokėjimo mokytis, naujų technologijų ir informacijos valdymo, profesinės komunikacijos, mokinių skirtybių ir galimybių pažinimo (specialiųjų gebėjimų ir poreikių atpažinimo), pagalbos teikimo mokantis ir mokinių / ugdytinių motyvavimo, ugdymo(</w:t>
      </w:r>
      <w:proofErr w:type="spellStart"/>
      <w:r w:rsidRPr="00903F12">
        <w:t>si</w:t>
      </w:r>
      <w:proofErr w:type="spellEnd"/>
      <w:r w:rsidRPr="00903F12">
        <w:t>) aplinkų, turinio ir situacijų įvairovės kūrimo, mokinių / ugdytinių pasiekimų ir pažangos vertinimo, profesinės veiklos tyrimo, pedagogo dalyko / ugdymo srities dalykines, kultūrines kompetencijas.</w:t>
      </w:r>
      <w:r w:rsidRPr="00903F12">
        <w:rPr>
          <w:color w:val="000000"/>
          <w:shd w:val="clear" w:color="auto" w:fill="FFFFFF"/>
        </w:rPr>
        <w:t xml:space="preserve"> Vertinant PKT renginių formų įvairovės bei jų trukmės ir dalyvių apsilankymo renginiuose statistiką, pastebima, kad 2022 m. pedagoginiai darbuotojai labiau nei 2021 m. rinkosi ilgalaikių programų trumpesnės laiko trukmės modulius, t. y. metodines dienas, konferencijas, paskaitas, atviras pamokas – programose numatytas veiklas, susijusias su kolegialaus mokymosi bei gerosios patirties sklaida. Taip pat didesnį susidomėjimą skyrė edukacinėms išvykoms-seminarams.  </w:t>
      </w:r>
      <w:r w:rsidRPr="00903F12">
        <w:t xml:space="preserve">2022 m. išduota 18400  (2021 m. – 19000) kvalifikacijos tobulinimo pažymėjimų asmenims, kurie įvykdė visą įvairios apimties programą. Išrašytos 63 </w:t>
      </w:r>
      <w:r w:rsidRPr="00EE69A2">
        <w:t>pažymos 3781 asmeniui (2021</w:t>
      </w:r>
      <w:r w:rsidRPr="00903F12">
        <w:t xml:space="preserve"> m. – 47 pažymos 2926 asmenims), kurie organizavo ar dalyvavo gerosios patirties renginiuose ar rengė mokinius konkursams ir kitiems miesto metodinių būrelių (toliau – MB) organizuojamiems renginiams. Taip pat per 2022 m. buvo išrašyta 2370 (2021 m. – 2014) pažymų asmenims, kurie skaitė pranešimus, organizavo renginius, rengė kvalifikacijos tobulinimo programas. Akredituota 17 ilgalaikių (ne mažiau 40 akad. val.) kvalifikacijos tobulinimo programų (2021 m. – 13), kurios suderintos su Klaipėdos miesto švietimo įstaigomis. </w:t>
      </w:r>
      <w:r w:rsidRPr="00903F12">
        <w:rPr>
          <w:color w:val="000000"/>
          <w:shd w:val="clear" w:color="auto" w:fill="FFFFFF"/>
        </w:rPr>
        <w:t>PŠKC Kvalifikacijos tobulinimo programų ir renginių registre 2022 m. iš viso  yra 66 (2021 m. – 65</w:t>
      </w:r>
      <w:r w:rsidRPr="00780C47">
        <w:rPr>
          <w:color w:val="000000"/>
          <w:shd w:val="clear" w:color="auto" w:fill="FFFFFF"/>
        </w:rPr>
        <w:t>, 2020 m. – 51</w:t>
      </w:r>
      <w:r w:rsidRPr="00903F12">
        <w:rPr>
          <w:color w:val="000000"/>
          <w:shd w:val="clear" w:color="auto" w:fill="FFFFFF"/>
        </w:rPr>
        <w:t xml:space="preserve"> ) akredituotos programos.  </w:t>
      </w:r>
    </w:p>
    <w:p w14:paraId="17C3D0CF" w14:textId="77777777" w:rsidR="00B9596B" w:rsidRPr="00903F12" w:rsidRDefault="00B9596B" w:rsidP="00B9596B">
      <w:pPr>
        <w:ind w:firstLine="720"/>
        <w:jc w:val="both"/>
        <w:rPr>
          <w:rFonts w:eastAsiaTheme="minorHAnsi"/>
        </w:rPr>
      </w:pPr>
      <w:r w:rsidRPr="00903F12">
        <w:rPr>
          <w:rFonts w:eastAsiaTheme="minorHAnsi"/>
          <w:color w:val="000000"/>
          <w:shd w:val="clear" w:color="auto" w:fill="FFFFFF"/>
        </w:rPr>
        <w:t xml:space="preserve">Apibendrinus 2022 m. pedagogų, dalyvavusių PŠKC renginiuose, apklausų analizės duomenis, 97,55 proc. visų atsakiusiųjų respondentų teigė, kad organizuojamų renginių naudingumą vertina </w:t>
      </w:r>
      <w:r w:rsidRPr="00903F12">
        <w:rPr>
          <w:rFonts w:eastAsiaTheme="minorHAnsi"/>
          <w:i/>
          <w:iCs/>
          <w:color w:val="000000"/>
          <w:shd w:val="clear" w:color="auto" w:fill="FFFFFF"/>
        </w:rPr>
        <w:t>gerai</w:t>
      </w:r>
      <w:r w:rsidRPr="00903F12">
        <w:rPr>
          <w:rFonts w:eastAsiaTheme="minorHAnsi"/>
          <w:color w:val="000000"/>
          <w:shd w:val="clear" w:color="auto" w:fill="FFFFFF"/>
        </w:rPr>
        <w:t xml:space="preserve"> arba </w:t>
      </w:r>
      <w:r w:rsidRPr="00903F12">
        <w:rPr>
          <w:rFonts w:eastAsiaTheme="minorHAnsi"/>
          <w:i/>
          <w:iCs/>
          <w:color w:val="000000"/>
          <w:shd w:val="clear" w:color="auto" w:fill="FFFFFF"/>
        </w:rPr>
        <w:t>labai gerai</w:t>
      </w:r>
      <w:r w:rsidRPr="00903F12">
        <w:rPr>
          <w:rFonts w:eastAsiaTheme="minorHAnsi"/>
          <w:color w:val="000000"/>
          <w:shd w:val="clear" w:color="auto" w:fill="FFFFFF"/>
        </w:rPr>
        <w:t xml:space="preserve"> (2021 m. – 98,1 proc.; 2020 m. – 97,41 proc.). Parengtose ir pateiktose </w:t>
      </w:r>
      <w:r w:rsidRPr="00903F12">
        <w:rPr>
          <w:rFonts w:eastAsiaTheme="minorHAnsi"/>
          <w:color w:val="000000"/>
          <w:shd w:val="clear" w:color="auto" w:fill="FFFFFF"/>
        </w:rPr>
        <w:lastRenderedPageBreak/>
        <w:t xml:space="preserve">dalyviams anketose </w:t>
      </w:r>
      <w:r w:rsidRPr="006927C1">
        <w:rPr>
          <w:rFonts w:eastAsiaTheme="minorHAnsi"/>
          <w:color w:val="000000"/>
          <w:shd w:val="clear" w:color="auto" w:fill="FFFFFF"/>
        </w:rPr>
        <w:t>naujai</w:t>
      </w:r>
      <w:r w:rsidRPr="00903F12">
        <w:rPr>
          <w:rFonts w:eastAsiaTheme="minorHAnsi"/>
          <w:color w:val="000000"/>
          <w:shd w:val="clear" w:color="auto" w:fill="FFFFFF"/>
        </w:rPr>
        <w:t xml:space="preserve"> mokytojų klubo „Jungtys“ </w:t>
      </w:r>
      <w:r w:rsidRPr="006927C1">
        <w:rPr>
          <w:rFonts w:eastAsiaTheme="minorHAnsi"/>
          <w:color w:val="000000"/>
          <w:shd w:val="clear" w:color="auto" w:fill="FFFFFF"/>
        </w:rPr>
        <w:t>metus trukusiai veiklai</w:t>
      </w:r>
      <w:r w:rsidRPr="00903F12">
        <w:rPr>
          <w:rFonts w:eastAsiaTheme="minorHAnsi"/>
          <w:color w:val="000000"/>
          <w:shd w:val="clear" w:color="auto" w:fill="FFFFFF"/>
        </w:rPr>
        <w:t xml:space="preserve"> įvertinti net 80 %. respondentų palankiai atsiliepė apie vykdytą veiklą ir pratęstų dalyvavimą 2023 m. </w:t>
      </w:r>
      <w:r w:rsidRPr="00903F12">
        <w:rPr>
          <w:rFonts w:eastAsiaTheme="minorHAnsi"/>
        </w:rPr>
        <w:t xml:space="preserve"> </w:t>
      </w:r>
    </w:p>
    <w:p w14:paraId="4E2E66A5" w14:textId="77777777" w:rsidR="00B9596B" w:rsidRPr="00903F12" w:rsidRDefault="00B9596B" w:rsidP="00B9596B">
      <w:pPr>
        <w:ind w:firstLine="720"/>
        <w:jc w:val="both"/>
        <w:rPr>
          <w:rFonts w:eastAsiaTheme="minorHAnsi"/>
        </w:rPr>
      </w:pPr>
      <w:r w:rsidRPr="00903F12">
        <w:rPr>
          <w:rFonts w:eastAsiaTheme="minorHAnsi"/>
          <w:color w:val="000000"/>
          <w:shd w:val="clear" w:color="auto" w:fill="FFFFFF"/>
        </w:rPr>
        <w:t xml:space="preserve">2022 m. siekiant gerinti miesto mokytojų metodinės veiklos efektyvumą ir bendradarbiavimą, organizuota apskritojo stalo diskusija mokyklų vadovams „Bendradarbiavimo su mokyklos vadovais kultūros, įgalinant mokytojų lyderystę, kūrimas ir palaikymas. Miesto metodinės veiklos, grįstos profesiniu bendradarbiavimu, reikšmė“ ir pristatytos metodinės veiklos Klaipėdos mieste organizavimo rekomendacijos. Organizuojant miesto MB veiklą, kryptingai siekiama stiprinti mokytojo savivertę, kelti motyvaciją ir organizuoti miesto mokytojų metodinę veiklą bei gerosios mokytojo profesinės patirties sklaidą, orientuotą į švietimo aktualijas, pokyčius ir nuolatinį profesinės veiklos tobulėjimą. Svarbu pastebėti, kad gerosios patirties sklaidos renginiai yra ne tik MB metinių programų dalis, bet numatyti ir ilgalaikėse ugdymo įstaigų PKT programose. 2022 m. buvo suorganizuota 500 kolegialaus mokymosi ir gerosios patirties sklaidos renginių (konferencijos, metodinės dienos, paskaitos, </w:t>
      </w:r>
      <w:r w:rsidRPr="00903F12">
        <w:rPr>
          <w:rFonts w:eastAsiaTheme="minorHAnsi"/>
          <w:shd w:val="clear" w:color="auto" w:fill="FFFFFF"/>
        </w:rPr>
        <w:t xml:space="preserve">gerosios patirties kolegialaus mokymosi renginiai, forumai, metodinių būrelių susirinkimai, edukacinė veikla, atviri renginiai, parodos, atviros pamokos / veiklos, konkursai, projektai, akcijos, kultūriniai, sportiniai renginiai). </w:t>
      </w:r>
      <w:r w:rsidRPr="00903F12">
        <w:rPr>
          <w:rFonts w:eastAsiaTheme="minorHAnsi"/>
          <w:color w:val="000000"/>
          <w:shd w:val="clear" w:color="auto" w:fill="FFFFFF"/>
        </w:rPr>
        <w:t xml:space="preserve">Per 2022 m. MB nariai suorganizavo 33 mokinių konkursus ir viktorinas, 13 projektų (iš jų 2 tarptautiniai ir 2 respublikiniai), 27 kultūrinius, sportinius renginius – lyginant su </w:t>
      </w:r>
      <w:proofErr w:type="spellStart"/>
      <w:r w:rsidRPr="00903F12">
        <w:rPr>
          <w:rFonts w:eastAsiaTheme="minorHAnsi"/>
          <w:color w:val="000000"/>
          <w:shd w:val="clear" w:color="auto" w:fill="FFFFFF"/>
        </w:rPr>
        <w:t>pandeminiu</w:t>
      </w:r>
      <w:proofErr w:type="spellEnd"/>
      <w:r w:rsidRPr="00903F12">
        <w:rPr>
          <w:rFonts w:eastAsiaTheme="minorHAnsi"/>
          <w:color w:val="000000"/>
          <w:shd w:val="clear" w:color="auto" w:fill="FFFFFF"/>
        </w:rPr>
        <w:t xml:space="preserve"> laikotarpiu ši veikla išaugo 100 %. Organizuoti 153 MB susirinkimai, t. y.  17,65 % daugiau (2021 m. – 126, </w:t>
      </w:r>
      <w:r w:rsidRPr="007428EA">
        <w:rPr>
          <w:rFonts w:eastAsiaTheme="minorHAnsi"/>
          <w:color w:val="000000"/>
          <w:shd w:val="clear" w:color="auto" w:fill="FFFFFF"/>
        </w:rPr>
        <w:t>2020 – 131</w:t>
      </w:r>
      <w:r w:rsidRPr="00903F12">
        <w:rPr>
          <w:rFonts w:eastAsiaTheme="minorHAnsi"/>
          <w:color w:val="000000"/>
          <w:shd w:val="clear" w:color="auto" w:fill="FFFFFF"/>
        </w:rPr>
        <w:t xml:space="preserve">), o MB tarybos posėdžių – 195, t. y. 50,26 % daugiau (2021 m. – 97, </w:t>
      </w:r>
      <w:r w:rsidRPr="007428EA">
        <w:rPr>
          <w:rFonts w:eastAsiaTheme="minorHAnsi"/>
          <w:color w:val="000000"/>
          <w:shd w:val="clear" w:color="auto" w:fill="FFFFFF"/>
        </w:rPr>
        <w:t>2020 m. – 91</w:t>
      </w:r>
      <w:r w:rsidRPr="00903F12">
        <w:rPr>
          <w:rFonts w:eastAsiaTheme="minorHAnsi"/>
          <w:color w:val="000000"/>
          <w:shd w:val="clear" w:color="auto" w:fill="FFFFFF"/>
        </w:rPr>
        <w:t>).</w:t>
      </w:r>
      <w:r w:rsidRPr="00903F12">
        <w:rPr>
          <w:rFonts w:asciiTheme="minorHAnsi" w:eastAsiaTheme="minorHAnsi" w:hAnsiTheme="minorHAnsi" w:cstheme="minorBidi"/>
          <w:color w:val="000000"/>
          <w:sz w:val="22"/>
          <w:szCs w:val="22"/>
          <w:shd w:val="clear" w:color="auto" w:fill="FFFFFF"/>
        </w:rPr>
        <w:t> </w:t>
      </w:r>
      <w:r w:rsidRPr="00903F12">
        <w:rPr>
          <w:rFonts w:eastAsiaTheme="minorHAnsi"/>
        </w:rPr>
        <w:t xml:space="preserve">100 % įgyvendinta Edukacinių, kultūrinių ir kitų renginių programa, patvirtinta Klaipėdos miesto savivaldybės administracijos Švietimo skyriaus vedėjo įsakymu. </w:t>
      </w:r>
    </w:p>
    <w:p w14:paraId="6524B2CA" w14:textId="77777777" w:rsidR="00B9596B" w:rsidRPr="00903F12" w:rsidRDefault="00B9596B" w:rsidP="00B9596B">
      <w:pPr>
        <w:ind w:firstLine="720"/>
        <w:jc w:val="both"/>
        <w:rPr>
          <w:rFonts w:eastAsia="Calibri"/>
          <w:color w:val="000000"/>
        </w:rPr>
      </w:pPr>
      <w:r w:rsidRPr="00903F12">
        <w:rPr>
          <w:rFonts w:eastAsia="Calibri"/>
          <w:color w:val="000000"/>
        </w:rPr>
        <w:t>Siekiant organizuoti Klaipėdos miesto mokytojų pasirengimą įgyvendinti atnaujintą ugdymo turinį  (toliau – AUT), buvo telkiamos dalykų mokytojų bendruomenės dalyvauti Nacionalinės švietimo agentūros (toliau – NŠA) mokymuose. Pagal Klaipėdos miestui skirtas kvotas, mokymų temas ir mokomuosius dalykus buvo atrinkti 427 miesto mokytojai ir vadovai dalyvauti minėtoje veikloje. Suorganizuoti 32</w:t>
      </w:r>
      <w:r w:rsidRPr="00903F12">
        <w:rPr>
          <w:rFonts w:eastAsia="Calibri"/>
          <w:color w:val="FF0000"/>
        </w:rPr>
        <w:t xml:space="preserve"> </w:t>
      </w:r>
      <w:r w:rsidRPr="00903F12">
        <w:rPr>
          <w:rFonts w:eastAsia="Calibri"/>
          <w:color w:val="000000"/>
        </w:rPr>
        <w:t>kolegialaus mokymosi susitikimai su MB nariais, skaityta 16 pranešimų, koordinuoti Klaipėdos miesto savivaldybės AUT komandos narių mokymai, organizuoti mokymai pagal atnaujintų bendrųjų programų įgyvendinimo etapus, kuriuose dalyvavo 18 švietimo bendruomenių (698 dalyvių), organizuotas bendradarbiaujančių mokyklų kolegialus mokymasis „Mokykla – Mokyklai“, parengtas Klaipėdos miesto savivaldybės AUT įgyvendinimo struktūrizuotas modelis. PŠKC interneto svetainėje sukurta informacinė skiltis „Atnaujintas ugdymo turinys“, kur talpinama informacija, susijusi su mieste vykdomomis AUT veiklomis.</w:t>
      </w:r>
    </w:p>
    <w:p w14:paraId="4BEBC9F9" w14:textId="77777777" w:rsidR="00B9596B" w:rsidRPr="00903F12" w:rsidRDefault="00B9596B" w:rsidP="00B9596B">
      <w:pPr>
        <w:ind w:firstLine="720"/>
        <w:jc w:val="both"/>
        <w:rPr>
          <w:rFonts w:eastAsiaTheme="minorHAnsi"/>
          <w:color w:val="000000"/>
          <w:shd w:val="clear" w:color="auto" w:fill="FFFFFF"/>
        </w:rPr>
      </w:pPr>
      <w:r w:rsidRPr="00903F12">
        <w:rPr>
          <w:rFonts w:eastAsiaTheme="minorHAnsi"/>
          <w:color w:val="000000"/>
          <w:shd w:val="clear" w:color="auto" w:fill="FFFFFF"/>
        </w:rPr>
        <w:t xml:space="preserve">Tobulinant miesto mokytojų ir švietimo pagalbos specialistų pasirengimą </w:t>
      </w:r>
      <w:proofErr w:type="spellStart"/>
      <w:r w:rsidRPr="00903F12">
        <w:rPr>
          <w:rFonts w:eastAsiaTheme="minorHAnsi"/>
          <w:color w:val="000000"/>
          <w:shd w:val="clear" w:color="auto" w:fill="FFFFFF"/>
        </w:rPr>
        <w:t>įtraukiajam</w:t>
      </w:r>
      <w:proofErr w:type="spellEnd"/>
      <w:r w:rsidRPr="00903F12">
        <w:rPr>
          <w:rFonts w:eastAsiaTheme="minorHAnsi"/>
          <w:color w:val="000000"/>
          <w:shd w:val="clear" w:color="auto" w:fill="FFFFFF"/>
        </w:rPr>
        <w:t xml:space="preserve"> ugdymui švietime ir siekiant suformuoti teigiamas nuostatas bei pozityvų požiūrį į </w:t>
      </w:r>
      <w:proofErr w:type="spellStart"/>
      <w:r w:rsidRPr="00903F12">
        <w:rPr>
          <w:rFonts w:eastAsiaTheme="minorHAnsi"/>
          <w:color w:val="000000"/>
          <w:shd w:val="clear" w:color="auto" w:fill="FFFFFF"/>
        </w:rPr>
        <w:t>įtrauk</w:t>
      </w:r>
      <w:r>
        <w:rPr>
          <w:rFonts w:eastAsiaTheme="minorHAnsi"/>
          <w:color w:val="000000"/>
          <w:shd w:val="clear" w:color="auto" w:fill="FFFFFF"/>
        </w:rPr>
        <w:t>ų</w:t>
      </w:r>
      <w:r w:rsidRPr="00903F12">
        <w:rPr>
          <w:rFonts w:eastAsiaTheme="minorHAnsi"/>
          <w:color w:val="000000"/>
          <w:shd w:val="clear" w:color="auto" w:fill="FFFFFF"/>
        </w:rPr>
        <w:t>jį</w:t>
      </w:r>
      <w:proofErr w:type="spellEnd"/>
      <w:r w:rsidRPr="00903F12">
        <w:rPr>
          <w:rFonts w:eastAsiaTheme="minorHAnsi"/>
          <w:color w:val="000000"/>
          <w:shd w:val="clear" w:color="auto" w:fill="FFFFFF"/>
        </w:rPr>
        <w:t xml:space="preserve"> švietimą, parengta ir akredituota įtraukiojo ugdymo 72 akad. val. programa „</w:t>
      </w:r>
      <w:proofErr w:type="spellStart"/>
      <w:r w:rsidRPr="00903F12">
        <w:rPr>
          <w:rFonts w:eastAsiaTheme="minorHAnsi"/>
          <w:color w:val="000000"/>
          <w:shd w:val="clear" w:color="auto" w:fill="FFFFFF"/>
        </w:rPr>
        <w:t>Įtraukusis</w:t>
      </w:r>
      <w:proofErr w:type="spellEnd"/>
      <w:r w:rsidRPr="00903F12">
        <w:rPr>
          <w:rFonts w:eastAsiaTheme="minorHAnsi"/>
          <w:color w:val="000000"/>
          <w:shd w:val="clear" w:color="auto" w:fill="FFFFFF"/>
        </w:rPr>
        <w:t xml:space="preserve"> ugdymas – iššūkis švietimo bendruomenei, ieškant kelio kiekvieno vaiko sėkmės link“. Organizuota respublikinė nuotolinė mokytojų konferencija-praktikumas „</w:t>
      </w:r>
      <w:proofErr w:type="spellStart"/>
      <w:r w:rsidRPr="00903F12">
        <w:rPr>
          <w:rFonts w:eastAsiaTheme="minorHAnsi"/>
          <w:color w:val="000000"/>
          <w:shd w:val="clear" w:color="auto" w:fill="FFFFFF"/>
        </w:rPr>
        <w:t>Įtraukusis</w:t>
      </w:r>
      <w:proofErr w:type="spellEnd"/>
      <w:r w:rsidRPr="00903F12">
        <w:rPr>
          <w:rFonts w:eastAsiaTheme="minorHAnsi"/>
          <w:color w:val="000000"/>
          <w:shd w:val="clear" w:color="auto" w:fill="FFFFFF"/>
        </w:rPr>
        <w:t xml:space="preserve"> ugdymas: tikėjimas kiekvieno vaiko sėkme“ (66 dalyviai); 2023 m. sausio 5 d. organizuota tarptautinė konferencija </w:t>
      </w:r>
      <w:r w:rsidRPr="00903F12">
        <w:rPr>
          <w:rFonts w:eastAsiaTheme="minorHAnsi"/>
          <w:color w:val="050505"/>
          <w:shd w:val="clear" w:color="auto" w:fill="FFFFFF"/>
        </w:rPr>
        <w:t>„</w:t>
      </w:r>
      <w:proofErr w:type="spellStart"/>
      <w:r w:rsidRPr="00903F12">
        <w:rPr>
          <w:rFonts w:eastAsiaTheme="minorHAnsi"/>
          <w:color w:val="050505"/>
          <w:shd w:val="clear" w:color="auto" w:fill="FFFFFF"/>
        </w:rPr>
        <w:t>Įtraukusis</w:t>
      </w:r>
      <w:proofErr w:type="spellEnd"/>
      <w:r w:rsidRPr="00903F12">
        <w:rPr>
          <w:rFonts w:eastAsiaTheme="minorHAnsi"/>
          <w:color w:val="050505"/>
          <w:shd w:val="clear" w:color="auto" w:fill="FFFFFF"/>
        </w:rPr>
        <w:t xml:space="preserve"> ugdymas šiandieninėje mokykloje: Švedijos, Norvegijos, Islandijos, Lietuvos patirtys, galimybės, perspektyvos“ (174 </w:t>
      </w:r>
      <w:r w:rsidRPr="00903F12">
        <w:rPr>
          <w:rFonts w:eastAsiaTheme="minorHAnsi"/>
          <w:color w:val="000000"/>
          <w:shd w:val="clear" w:color="auto" w:fill="FFFFFF"/>
        </w:rPr>
        <w:t>dalyviai)</w:t>
      </w:r>
      <w:r w:rsidRPr="00903F12">
        <w:rPr>
          <w:rFonts w:eastAsiaTheme="minorHAnsi"/>
          <w:color w:val="050505"/>
          <w:shd w:val="clear" w:color="auto" w:fill="FFFFFF"/>
        </w:rPr>
        <w:t xml:space="preserve">. </w:t>
      </w:r>
      <w:r w:rsidRPr="00903F12">
        <w:rPr>
          <w:rFonts w:eastAsiaTheme="minorHAnsi"/>
          <w:color w:val="000000"/>
          <w:shd w:val="clear" w:color="auto" w:fill="FFFFFF"/>
        </w:rPr>
        <w:t>2022 m. įgyvendintas „</w:t>
      </w:r>
      <w:r w:rsidRPr="00903F12">
        <w:rPr>
          <w:rFonts w:eastAsiaTheme="minorHAnsi"/>
          <w:iCs/>
          <w:color w:val="000000"/>
          <w:shd w:val="clear" w:color="auto" w:fill="FFFFFF"/>
        </w:rPr>
        <w:t>Erasmus+“</w:t>
      </w:r>
      <w:r w:rsidRPr="00903F12">
        <w:rPr>
          <w:rFonts w:eastAsiaTheme="minorHAnsi"/>
          <w:i/>
          <w:iCs/>
          <w:color w:val="000000"/>
          <w:shd w:val="clear" w:color="auto" w:fill="FFFFFF"/>
        </w:rPr>
        <w:t xml:space="preserve"> </w:t>
      </w:r>
      <w:r w:rsidRPr="00903F12">
        <w:rPr>
          <w:rFonts w:eastAsiaTheme="minorHAnsi"/>
          <w:color w:val="000000"/>
          <w:shd w:val="clear" w:color="auto" w:fill="FFFFFF"/>
        </w:rPr>
        <w:t>projektas „Įtraukiantis ir interaktyvus švietimas muziejuose: dalijimasis gerąja patirtimi</w:t>
      </w:r>
      <w:r w:rsidRPr="00EE69A2">
        <w:rPr>
          <w:rFonts w:eastAsiaTheme="minorHAnsi"/>
          <w:color w:val="000000"/>
          <w:shd w:val="clear" w:color="auto" w:fill="FFFFFF"/>
        </w:rPr>
        <w:t>).</w:t>
      </w:r>
      <w:r w:rsidRPr="00903F12">
        <w:rPr>
          <w:rFonts w:asciiTheme="minorHAnsi" w:eastAsiaTheme="minorHAnsi" w:hAnsiTheme="minorHAnsi" w:cstheme="minorBidi"/>
          <w:color w:val="000000"/>
          <w:sz w:val="22"/>
          <w:szCs w:val="22"/>
          <w:shd w:val="clear" w:color="auto" w:fill="FFFFFF"/>
        </w:rPr>
        <w:t xml:space="preserve"> </w:t>
      </w:r>
      <w:r w:rsidRPr="00903F12">
        <w:rPr>
          <w:rFonts w:eastAsiaTheme="minorHAnsi"/>
          <w:color w:val="000000"/>
          <w:shd w:val="clear" w:color="auto" w:fill="FFFFFF"/>
        </w:rPr>
        <w:t xml:space="preserve">Visa informacija apie AUT veiklas ir </w:t>
      </w:r>
      <w:proofErr w:type="spellStart"/>
      <w:r w:rsidRPr="00903F12">
        <w:rPr>
          <w:rFonts w:eastAsiaTheme="minorHAnsi"/>
          <w:color w:val="000000"/>
          <w:shd w:val="clear" w:color="auto" w:fill="FFFFFF"/>
        </w:rPr>
        <w:t>įtrauktį</w:t>
      </w:r>
      <w:proofErr w:type="spellEnd"/>
      <w:r w:rsidRPr="00903F12">
        <w:rPr>
          <w:rFonts w:eastAsiaTheme="minorHAnsi"/>
          <w:color w:val="000000"/>
          <w:shd w:val="clear" w:color="auto" w:fill="FFFFFF"/>
        </w:rPr>
        <w:t xml:space="preserve"> švietime viešinta PŠKC tinklapyje ir socialiniame tinkle</w:t>
      </w:r>
      <w:r w:rsidRPr="00903F12">
        <w:rPr>
          <w:rFonts w:eastAsiaTheme="minorHAnsi"/>
          <w:i/>
          <w:iCs/>
          <w:color w:val="000000"/>
          <w:shd w:val="clear" w:color="auto" w:fill="FFFFFF"/>
        </w:rPr>
        <w:t xml:space="preserve"> </w:t>
      </w:r>
      <w:r w:rsidRPr="00903F12">
        <w:rPr>
          <w:rFonts w:eastAsiaTheme="minorHAnsi"/>
          <w:iCs/>
          <w:color w:val="000000"/>
          <w:shd w:val="clear" w:color="auto" w:fill="FFFFFF"/>
        </w:rPr>
        <w:t>„Facebook“</w:t>
      </w:r>
      <w:r>
        <w:rPr>
          <w:rFonts w:eastAsiaTheme="minorHAnsi"/>
          <w:iCs/>
          <w:color w:val="000000"/>
          <w:shd w:val="clear" w:color="auto" w:fill="FFFFFF"/>
        </w:rPr>
        <w:t>.</w:t>
      </w:r>
      <w:r w:rsidRPr="00903F12">
        <w:rPr>
          <w:rFonts w:eastAsiaTheme="minorHAnsi"/>
          <w:color w:val="000000"/>
          <w:shd w:val="clear" w:color="auto" w:fill="FFFFFF"/>
        </w:rPr>
        <w:t> </w:t>
      </w:r>
    </w:p>
    <w:p w14:paraId="2FB02016" w14:textId="77777777" w:rsidR="00B9596B" w:rsidRPr="00903F12" w:rsidRDefault="00B9596B" w:rsidP="00B9596B">
      <w:pPr>
        <w:ind w:firstLine="720"/>
        <w:jc w:val="both"/>
        <w:rPr>
          <w:rFonts w:eastAsia="Calibri"/>
          <w:color w:val="000000"/>
        </w:rPr>
      </w:pPr>
      <w:r w:rsidRPr="00903F12">
        <w:rPr>
          <w:rFonts w:eastAsiaTheme="minorHAnsi"/>
        </w:rPr>
        <w:t xml:space="preserve"> – įgyvendinant antrąjį uždavinį – tobulinti informacinių komunikacijų technologijų (toliau –IKT) ir kitų paslaugų kokybę – buvo siekiama ugdyti</w:t>
      </w:r>
      <w:r w:rsidRPr="00903F12">
        <w:rPr>
          <w:rFonts w:eastAsiaTheme="minorHAnsi"/>
          <w:color w:val="000000"/>
          <w:shd w:val="clear" w:color="auto" w:fill="FFFFFF"/>
        </w:rPr>
        <w:t xml:space="preserve"> </w:t>
      </w:r>
      <w:r w:rsidRPr="00FC476A">
        <w:rPr>
          <w:rFonts w:eastAsiaTheme="minorHAnsi"/>
          <w:color w:val="000000"/>
          <w:shd w:val="clear" w:color="auto" w:fill="FFFFFF"/>
        </w:rPr>
        <w:t>informacinių technologijų</w:t>
      </w:r>
      <w:r w:rsidRPr="00903F12">
        <w:rPr>
          <w:rFonts w:eastAsiaTheme="minorHAnsi"/>
          <w:color w:val="000000"/>
          <w:shd w:val="clear" w:color="auto" w:fill="FFFFFF"/>
        </w:rPr>
        <w:t xml:space="preserve"> aukštesnio lygio profesines kompetencijas. 2022 m. organizuoti skaitmeninio raštingumo kompetencijų tobulinimo įvairių formų MB renginiai, kuriuose dalyvavo 493 įvairių dalykų mokytojai. Organizuoti 2 kursai (85 dalyviai), paruoštos 3 interaktyvios pamokos, interaktyvių pamokų kūrimo vadovas su „</w:t>
      </w:r>
      <w:proofErr w:type="spellStart"/>
      <w:r w:rsidRPr="00903F12">
        <w:rPr>
          <w:rFonts w:eastAsiaTheme="minorHAnsi"/>
          <w:iCs/>
          <w:color w:val="000000"/>
          <w:shd w:val="clear" w:color="auto" w:fill="FFFFFF"/>
        </w:rPr>
        <w:t>Thinglink</w:t>
      </w:r>
      <w:proofErr w:type="spellEnd"/>
      <w:r w:rsidRPr="00903F12">
        <w:rPr>
          <w:rFonts w:eastAsiaTheme="minorHAnsi"/>
          <w:iCs/>
          <w:color w:val="000000"/>
          <w:shd w:val="clear" w:color="auto" w:fill="FFFFFF"/>
        </w:rPr>
        <w:t>“</w:t>
      </w:r>
      <w:r w:rsidRPr="00903F12">
        <w:rPr>
          <w:rFonts w:eastAsiaTheme="minorHAnsi"/>
          <w:i/>
          <w:iCs/>
          <w:color w:val="000000"/>
          <w:shd w:val="clear" w:color="auto" w:fill="FFFFFF"/>
        </w:rPr>
        <w:t xml:space="preserve"> </w:t>
      </w:r>
      <w:r w:rsidRPr="00903F12">
        <w:rPr>
          <w:rFonts w:eastAsiaTheme="minorHAnsi"/>
          <w:color w:val="000000"/>
          <w:shd w:val="clear" w:color="auto" w:fill="FFFFFF"/>
        </w:rPr>
        <w:t>ir „H5P“ programomis, surengti praktiniai mokymai</w:t>
      </w:r>
      <w:r w:rsidRPr="00903F12">
        <w:rPr>
          <w:rFonts w:asciiTheme="minorHAnsi" w:eastAsiaTheme="minorHAnsi" w:hAnsiTheme="minorHAnsi" w:cstheme="minorBidi"/>
          <w:color w:val="000000"/>
          <w:sz w:val="22"/>
          <w:szCs w:val="22"/>
          <w:shd w:val="clear" w:color="auto" w:fill="FFFFFF"/>
        </w:rPr>
        <w:t xml:space="preserve"> </w:t>
      </w:r>
      <w:r w:rsidRPr="00903F12">
        <w:rPr>
          <w:rFonts w:eastAsiaTheme="minorHAnsi"/>
          <w:color w:val="000000"/>
          <w:shd w:val="clear" w:color="auto" w:fill="FFFFFF"/>
        </w:rPr>
        <w:t>„</w:t>
      </w:r>
      <w:r w:rsidRPr="00FC476A">
        <w:rPr>
          <w:rFonts w:eastAsiaTheme="minorHAnsi"/>
          <w:color w:val="000000"/>
          <w:shd w:val="clear" w:color="auto" w:fill="FFFFFF"/>
        </w:rPr>
        <w:t>Interaktyvaus edukacinio /</w:t>
      </w:r>
      <w:r w:rsidRPr="00FC476A">
        <w:rPr>
          <w:rFonts w:asciiTheme="minorHAnsi" w:eastAsiaTheme="minorHAnsi" w:hAnsiTheme="minorHAnsi" w:cstheme="minorBidi"/>
          <w:color w:val="000000"/>
          <w:sz w:val="22"/>
          <w:szCs w:val="22"/>
          <w:shd w:val="clear" w:color="auto" w:fill="FFFFFF"/>
        </w:rPr>
        <w:t xml:space="preserve"> </w:t>
      </w:r>
      <w:r w:rsidRPr="00FC476A">
        <w:rPr>
          <w:rFonts w:eastAsiaTheme="minorHAnsi"/>
          <w:color w:val="000000"/>
          <w:shd w:val="clear" w:color="auto" w:fill="FFFFFF"/>
        </w:rPr>
        <w:t>ugdymo turinio kūrimo galimybės“</w:t>
      </w:r>
      <w:r w:rsidRPr="00903F12">
        <w:rPr>
          <w:rFonts w:eastAsiaTheme="minorHAnsi"/>
          <w:color w:val="000000"/>
          <w:shd w:val="clear" w:color="auto" w:fill="FFFFFF"/>
        </w:rPr>
        <w:t>. Nuo 2022-01-01 įdiegta dokumentų valdymo sistema „Avilys“ (12 darbo vietų), parengtas ir patvirtintas PŠKC dokumentų tvarkymo ir apskaitos dokumentų valdymo sistemoje „Avilys“ tvarkos aprašas, pagal duomenis susieta „</w:t>
      </w:r>
      <w:r w:rsidRPr="00903F12">
        <w:rPr>
          <w:rFonts w:eastAsiaTheme="minorHAnsi"/>
          <w:iCs/>
          <w:color w:val="000000"/>
          <w:shd w:val="clear" w:color="auto" w:fill="FFFFFF"/>
        </w:rPr>
        <w:t>E. pristatymo“</w:t>
      </w:r>
      <w:r w:rsidRPr="00903F12">
        <w:rPr>
          <w:rFonts w:eastAsiaTheme="minorHAnsi"/>
          <w:color w:val="000000"/>
          <w:shd w:val="clear" w:color="auto" w:fill="FFFFFF"/>
        </w:rPr>
        <w:t xml:space="preserve"> informacinėje sistemoje esanti dėžutė su dokumentų valdymo ir kita informacine sistema; per I ketvirtį suvestas </w:t>
      </w:r>
      <w:r w:rsidRPr="00903F12">
        <w:rPr>
          <w:rFonts w:eastAsiaTheme="minorHAnsi"/>
          <w:color w:val="000000"/>
          <w:shd w:val="clear" w:color="auto" w:fill="FFFFFF"/>
        </w:rPr>
        <w:lastRenderedPageBreak/>
        <w:t xml:space="preserve">PŠKC dokumentacijos planas, darbuotojai mokyti dirbti </w:t>
      </w:r>
      <w:r>
        <w:rPr>
          <w:rFonts w:eastAsiaTheme="minorHAnsi"/>
          <w:color w:val="000000"/>
          <w:shd w:val="clear" w:color="auto" w:fill="FFFFFF"/>
        </w:rPr>
        <w:t xml:space="preserve">su </w:t>
      </w:r>
      <w:r w:rsidRPr="00903F12">
        <w:rPr>
          <w:rFonts w:eastAsiaTheme="minorHAnsi"/>
          <w:color w:val="000000"/>
          <w:shd w:val="clear" w:color="auto" w:fill="FFFFFF"/>
        </w:rPr>
        <w:t>minėta sistema. Įdiegta prieiga prie „Personalas IS“ modulio, kuriame suvesti darbo sutarčių duomenys ir kasmetinių atostogų likučiai, atliktos darbo sutarčių, darbo sutarčių pakeitimų atostogų, nedarbingumo ir kitų neatvykimų į darbą dokumentų dalinės sinchronizacijos su moduliu „Darbo užmokestis“; parengti „Personalas IS“ modulyje darbo laiko schemos ir darbo laiko apskaitos dokumentai</w:t>
      </w:r>
      <w:r>
        <w:rPr>
          <w:rFonts w:eastAsiaTheme="minorHAnsi"/>
          <w:color w:val="000000"/>
          <w:shd w:val="clear" w:color="auto" w:fill="FFFFFF"/>
        </w:rPr>
        <w:t>. P</w:t>
      </w:r>
      <w:r w:rsidRPr="00903F12">
        <w:rPr>
          <w:rFonts w:eastAsiaTheme="minorHAnsi"/>
          <w:color w:val="000000"/>
          <w:shd w:val="clear" w:color="auto" w:fill="FFFFFF"/>
        </w:rPr>
        <w:t xml:space="preserve">arengtas ir patvirtintas Klaipėdos miesto pedagogų švietimo ir kultūros centro dienpinigių mokėjimo tvarkos aprašas, parengtas 2022 m. planuojamų pirkimų planas ir pasirašyta Centralizuota viešųjų pirkimų veiklos sutartis su Klaipėdos miesto savivaldybės administracija. </w:t>
      </w:r>
      <w:r w:rsidRPr="00903F12">
        <w:rPr>
          <w:rFonts w:eastAsiaTheme="minorHAnsi"/>
          <w:shd w:val="clear" w:color="auto" w:fill="FFFFFF"/>
        </w:rPr>
        <w:t>Sudarytas ilgai saugomų bylų apyrašas.  Peržiūrėtos ir įvertintos „AIKOS“ Kvalifikacijos tobulinimo ir renginių registre registruotos programos pagal registracijos būsenas,  sudarytas naujas sąrašas, atsisakant negaliojančių ir neaktualių programų. </w:t>
      </w:r>
    </w:p>
    <w:p w14:paraId="12CBC28A" w14:textId="77777777" w:rsidR="00B9596B" w:rsidRPr="00903F12" w:rsidRDefault="00B9596B" w:rsidP="00B9596B">
      <w:pPr>
        <w:tabs>
          <w:tab w:val="left" w:pos="887"/>
        </w:tabs>
        <w:ind w:firstLine="603"/>
        <w:contextualSpacing/>
        <w:jc w:val="both"/>
      </w:pPr>
      <w:r w:rsidRPr="00903F12">
        <w:t>Siekiant Strateginio plano antrojo tikslo – sudaryti sąlygas Klaipėdos miesto suaugusiems mokytis visą gyvenimą, teikti nuolatinę pagalbą Klaipėdos miesto švietimo įstaigų vadovams – PŠKC veikla orientuota į neformaliojo suaugusių švietimo ir tęstinio mokymosi organizavimą ir sąlygų tobulinti saviraiškos poreikius sudarymą. Tikslams pasiekti buvo vykdomi du Veiklos plano uždaviniai:</w:t>
      </w:r>
    </w:p>
    <w:p w14:paraId="2DF2D3BE" w14:textId="77777777" w:rsidR="00B9596B" w:rsidRPr="00903F12" w:rsidRDefault="00B9596B" w:rsidP="00B9596B">
      <w:pPr>
        <w:tabs>
          <w:tab w:val="left" w:pos="887"/>
        </w:tabs>
        <w:ind w:firstLine="603"/>
        <w:contextualSpacing/>
        <w:jc w:val="both"/>
      </w:pPr>
      <w:r w:rsidRPr="00903F12">
        <w:t xml:space="preserve">– įgyvendinant pirmąjį uždavinį – užtikrinti neformaliojo suaugusiųjų švietimo ir tęstinio mokymosi (toliau – NSŠTM) sistemos koordinavimą ir tenkinti suaugusiųjų saviraiškos poreikius – </w:t>
      </w:r>
      <w:r w:rsidRPr="00903F12">
        <w:rPr>
          <w:color w:val="000000"/>
          <w:szCs w:val="20"/>
          <w:shd w:val="clear" w:color="auto" w:fill="FFFFFF"/>
        </w:rPr>
        <w:t xml:space="preserve">PŠKC interneto svetainės šiai sričiai skirtoje skiltyje buvo pateikiama informacija gyventojams apie NSŠTM galimybes Klaipėdos mieste. Taip pat sisteminama ir viešinama informacija apie bendradarbiavimo galimybes, neformaliojo švietimo būdu įgytų kompetencijų formalizavimą ir NSŠTM teikiamą naudą. 2022 m. PŠKC kartu su </w:t>
      </w:r>
      <w:r>
        <w:rPr>
          <w:color w:val="000000"/>
          <w:szCs w:val="20"/>
          <w:shd w:val="clear" w:color="auto" w:fill="FFFFFF"/>
        </w:rPr>
        <w:t>n</w:t>
      </w:r>
      <w:r w:rsidRPr="00FC476A">
        <w:rPr>
          <w:color w:val="000000"/>
          <w:szCs w:val="20"/>
          <w:shd w:val="clear" w:color="auto" w:fill="FFFFFF"/>
        </w:rPr>
        <w:t xml:space="preserve">eformaliojo </w:t>
      </w:r>
      <w:r w:rsidRPr="00B9441C">
        <w:rPr>
          <w:color w:val="000000"/>
          <w:szCs w:val="20"/>
          <w:shd w:val="clear" w:color="auto" w:fill="FFFFFF"/>
        </w:rPr>
        <w:t>suaugusiųjų švietimo</w:t>
      </w:r>
      <w:r w:rsidRPr="00903F12">
        <w:rPr>
          <w:color w:val="000000"/>
          <w:szCs w:val="20"/>
          <w:shd w:val="clear" w:color="auto" w:fill="FFFFFF"/>
        </w:rPr>
        <w:t xml:space="preserve"> (toliau – NSŠ) programų teikėjais kvietė Klaipėdos bendruomenę dalyvauti suaugusiųjų savaitėje „Mokymosi siluetai“. NSŠ programų teikėjai klaipėdiečiams siūlė 31 veiklą. Minėtų renginių sklaida buvo patalpinta </w:t>
      </w:r>
      <w:r w:rsidRPr="00903F12">
        <w:rPr>
          <w:color w:val="000000"/>
          <w:shd w:val="clear" w:color="auto" w:fill="FFFFFF"/>
        </w:rPr>
        <w:t>socialiniame „</w:t>
      </w:r>
      <w:r w:rsidRPr="00903F12">
        <w:rPr>
          <w:iCs/>
          <w:color w:val="000000"/>
          <w:shd w:val="clear" w:color="auto" w:fill="FFFFFF"/>
        </w:rPr>
        <w:t>Facebook</w:t>
      </w:r>
      <w:r w:rsidRPr="00903F12">
        <w:rPr>
          <w:color w:val="000000"/>
          <w:shd w:val="clear" w:color="auto" w:fill="FFFFFF"/>
        </w:rPr>
        <w:t>“ tinkle</w:t>
      </w:r>
      <w:r w:rsidRPr="00903F12">
        <w:rPr>
          <w:color w:val="000000"/>
          <w:szCs w:val="20"/>
          <w:shd w:val="clear" w:color="auto" w:fill="FFFFFF"/>
        </w:rPr>
        <w:t xml:space="preserve"> ir PŠKC interneto svetainėje, Lietuvos suaugusiųjų švietimo asociacijos ir Klaipėdos miesto savivaldybės tinklapiuose. Dalyvauta Lietuvos suaugusiųjų švietimo asociacijos konferencijoje „Suaugusiųjų švietimo prieinamumo didinimo link“ ir knygos </w:t>
      </w:r>
      <w:proofErr w:type="spellStart"/>
      <w:r w:rsidRPr="00903F12">
        <w:rPr>
          <w:color w:val="000000"/>
          <w:szCs w:val="20"/>
          <w:shd w:val="clear" w:color="auto" w:fill="FFFFFF"/>
        </w:rPr>
        <w:t>andragogui</w:t>
      </w:r>
      <w:proofErr w:type="spellEnd"/>
      <w:r w:rsidRPr="00903F12">
        <w:rPr>
          <w:color w:val="000000"/>
          <w:szCs w:val="20"/>
          <w:shd w:val="clear" w:color="auto" w:fill="FFFFFF"/>
        </w:rPr>
        <w:t xml:space="preserve"> pristatyme „Mokėjimas mokytis“. </w:t>
      </w:r>
    </w:p>
    <w:p w14:paraId="57B1EEEC" w14:textId="77777777" w:rsidR="00B9596B" w:rsidRPr="00903F12" w:rsidRDefault="00B9596B" w:rsidP="00B9596B">
      <w:pPr>
        <w:tabs>
          <w:tab w:val="left" w:pos="1412"/>
        </w:tabs>
        <w:ind w:firstLine="720"/>
        <w:jc w:val="both"/>
        <w:textAlignment w:val="baseline"/>
        <w:rPr>
          <w:color w:val="000000"/>
          <w:shd w:val="clear" w:color="auto" w:fill="FFFFFF"/>
        </w:rPr>
      </w:pPr>
      <w:r w:rsidRPr="00903F12">
        <w:rPr>
          <w:color w:val="000000"/>
          <w:shd w:val="clear" w:color="auto" w:fill="FFFFFF"/>
        </w:rPr>
        <w:t>Plėtojant neformaliojo suaugusiųjų mokymosi paslaugas Klaipėdos mieste ir atliepiant poreikį, buvo sudarytos sąlygos suaugusiems įgyti bendrąsias kompetencijas šiuose renginiuose: lietuvių kalbos kursai (2 akad. val., 25 dalyviai), skaitmeninio raštingumo kursai (240 akad. val., 85 dalyviai), kompiuterinio ir finansinio raštingumo kursai (40 akad. val.,</w:t>
      </w:r>
      <w:r>
        <w:rPr>
          <w:color w:val="000000"/>
          <w:shd w:val="clear" w:color="auto" w:fill="FFFFFF"/>
        </w:rPr>
        <w:t xml:space="preserve"> </w:t>
      </w:r>
      <w:r w:rsidRPr="00903F12">
        <w:rPr>
          <w:color w:val="000000"/>
          <w:shd w:val="clear" w:color="auto" w:fill="FFFFFF"/>
        </w:rPr>
        <w:t>105 dalyviai), sveikos gyvensenos mokymai (24 akad. val., 74 dalyviai), turizmo renginių vadovų mokymai saugos ir sveikatos klausimais (16 akad. val., 180 dalyvių). Sudarytos sąlygos 396 pedagogams, siekiantiems aukštesnės kvalifikacijos, išklausyti kursus: specialiosios pedagogikos ir specialiosios psichologijos (60 akad. val., 106 dalyviai), skaitmeninio raštingumo (80 akad. val., 85 dalyviai), lietuvių kalbos ir kultūros (22 akad. val., 25 dalyviai). </w:t>
      </w:r>
    </w:p>
    <w:p w14:paraId="6027B7D6" w14:textId="77777777" w:rsidR="00B9596B" w:rsidRPr="00903F12" w:rsidRDefault="00B9596B" w:rsidP="00B9596B">
      <w:pPr>
        <w:tabs>
          <w:tab w:val="left" w:pos="1412"/>
        </w:tabs>
        <w:ind w:firstLine="720"/>
        <w:jc w:val="both"/>
        <w:textAlignment w:val="baseline"/>
        <w:rPr>
          <w:color w:val="1D1B11"/>
        </w:rPr>
      </w:pPr>
      <w:r w:rsidRPr="00903F12">
        <w:rPr>
          <w:color w:val="1D1B11"/>
          <w:shd w:val="clear" w:color="auto" w:fill="FFFFFF"/>
        </w:rPr>
        <w:t xml:space="preserve">Organizuotas PŠKC darbuotojų profesinių kompetencijų tobulinimas. Iš viso per 2022 m. darbuotojai dalyvavo įvairaus formato ir trukmės (nuo 1 iki 40 akad. val.) 71 PKT renginyje (2021 m. – </w:t>
      </w:r>
      <w:r w:rsidRPr="00903F12">
        <w:rPr>
          <w:color w:val="000000"/>
          <w:shd w:val="clear" w:color="auto" w:fill="FFFFFF"/>
        </w:rPr>
        <w:t xml:space="preserve">58, </w:t>
      </w:r>
      <w:r w:rsidRPr="00903F12">
        <w:rPr>
          <w:color w:val="1D1B11"/>
          <w:shd w:val="clear" w:color="auto" w:fill="FFFFFF"/>
        </w:rPr>
        <w:t>2020 m. – 29): bendrą lankytų renginių trukmę sudaro 953 akad. val. kontaktinio ir 81 akad. val. savarankiško mokymosi skaičius (</w:t>
      </w:r>
      <w:r>
        <w:rPr>
          <w:color w:val="1D1B11"/>
          <w:shd w:val="clear" w:color="auto" w:fill="FFFFFF"/>
        </w:rPr>
        <w:t xml:space="preserve">atitinkamai </w:t>
      </w:r>
      <w:r w:rsidRPr="00903F12">
        <w:rPr>
          <w:color w:val="1D1B11"/>
          <w:shd w:val="clear" w:color="auto" w:fill="FFFFFF"/>
        </w:rPr>
        <w:t>2021 m. – 655 akad. ir 10</w:t>
      </w:r>
      <w:r w:rsidRPr="00903F12">
        <w:rPr>
          <w:color w:val="000000"/>
          <w:shd w:val="clear" w:color="auto" w:fill="FFFFFF"/>
        </w:rPr>
        <w:t xml:space="preserve"> </w:t>
      </w:r>
      <w:r w:rsidRPr="00903F12">
        <w:rPr>
          <w:color w:val="1D1B11"/>
          <w:shd w:val="clear" w:color="auto" w:fill="FFFFFF"/>
        </w:rPr>
        <w:t xml:space="preserve">akad. val. </w:t>
      </w:r>
      <w:r>
        <w:rPr>
          <w:color w:val="1D1B11"/>
          <w:shd w:val="clear" w:color="auto" w:fill="FFFFFF"/>
        </w:rPr>
        <w:t>;</w:t>
      </w:r>
      <w:r w:rsidRPr="00903F12">
        <w:rPr>
          <w:color w:val="1D1B11"/>
          <w:shd w:val="clear" w:color="auto" w:fill="FFFFFF"/>
        </w:rPr>
        <w:t xml:space="preserve"> 2020 m. – 321 akad. val. ir 115 akad. val.). Darbuotojai gilino žinias ir tobulino profesines bei skaitmeninio raštingumo, dokumentų valdymo, lyderystės kompetencijas forumuose, konferencijose, seminaruose, atviro stalo diskusijose ir kt. mokymuose. 6 PŠKC darbuotojai dalyvavo ilgalaikiuose tarptautiniuose mokymuose, stažuotėse. Įstaigos metodininkai 2022 m. rengė programas, pranešimus, organizavo, koordinavo ir vedė įvairaus formato mokymus (iš viso 98 akad. val.), </w:t>
      </w:r>
      <w:r w:rsidRPr="00903F12">
        <w:rPr>
          <w:color w:val="1D1B11"/>
        </w:rPr>
        <w:t>teikė konsultacijas įvairių PKT renginių pranešėjams, lektoriams ir kitiems suinteresuotais asmenimis, apmokydami juos dalintis ekranu, įvaldyti įvairias skaitmenines aplinkas, reikalingas organizuoti mokymus nuotoliniu būdu.</w:t>
      </w:r>
    </w:p>
    <w:p w14:paraId="6EC4805B" w14:textId="77777777" w:rsidR="00B9596B" w:rsidRPr="00903F12" w:rsidRDefault="00B9596B" w:rsidP="00B9596B">
      <w:pPr>
        <w:ind w:firstLine="720"/>
        <w:jc w:val="both"/>
        <w:textAlignment w:val="baseline"/>
      </w:pPr>
      <w:r w:rsidRPr="00903F12">
        <w:rPr>
          <w:color w:val="000000"/>
        </w:rPr>
        <w:t>Per 2022 m. PŠKC įvykdė 3 projektų veiklas. Pateiktos dviejų „Erasmus+“ koordinuojamų projektų ir vieno „</w:t>
      </w:r>
      <w:proofErr w:type="spellStart"/>
      <w:r w:rsidRPr="00903F12">
        <w:rPr>
          <w:color w:val="000000"/>
        </w:rPr>
        <w:t>Nordplus</w:t>
      </w:r>
      <w:proofErr w:type="spellEnd"/>
      <w:r w:rsidRPr="00903F12">
        <w:rPr>
          <w:color w:val="000000"/>
        </w:rPr>
        <w:t xml:space="preserve"> </w:t>
      </w:r>
      <w:proofErr w:type="spellStart"/>
      <w:r w:rsidRPr="00903F12">
        <w:rPr>
          <w:color w:val="000000"/>
        </w:rPr>
        <w:t>Adult</w:t>
      </w:r>
      <w:proofErr w:type="spellEnd"/>
      <w:r w:rsidRPr="00903F12">
        <w:rPr>
          <w:color w:val="000000"/>
        </w:rPr>
        <w:t xml:space="preserve">“ </w:t>
      </w:r>
      <w:r>
        <w:rPr>
          <w:color w:val="000000"/>
        </w:rPr>
        <w:t>projektų ataskaitos. „Erasmus+“</w:t>
      </w:r>
      <w:r w:rsidRPr="00903F12">
        <w:rPr>
          <w:color w:val="000000"/>
        </w:rPr>
        <w:t xml:space="preserve"> „Mokinių sąmoningumo ir prevencijos įgūdžiai, susiję su elektroninėmis patyčiomis ir internetine neapykantos kalba“ </w:t>
      </w:r>
      <w:r w:rsidRPr="00EE69A2">
        <w:rPr>
          <w:color w:val="000000"/>
        </w:rPr>
        <w:t>(Nr. 2020-1-LT01-KA201-077819)</w:t>
      </w:r>
      <w:r w:rsidRPr="00903F12">
        <w:rPr>
          <w:color w:val="000000"/>
        </w:rPr>
        <w:t xml:space="preserve"> projekto ataskaita įvertinta labai gerai ir surinko 89 balus iš 100 (Švietimo </w:t>
      </w:r>
      <w:r w:rsidRPr="00903F12">
        <w:rPr>
          <w:color w:val="000000"/>
        </w:rPr>
        <w:lastRenderedPageBreak/>
        <w:t>mainų ir paramos fondo įvertinimo ataskaitoje projektas minimas kaip gerosios patirties pavyzdys). Kitų 2 projektų ataskaitos dar yra vertinamos. Įgyvendint</w:t>
      </w:r>
      <w:r>
        <w:rPr>
          <w:color w:val="000000"/>
        </w:rPr>
        <w:t>ų</w:t>
      </w:r>
      <w:r w:rsidRPr="00903F12">
        <w:rPr>
          <w:color w:val="000000"/>
        </w:rPr>
        <w:t xml:space="preserve"> </w:t>
      </w:r>
      <w:r w:rsidRPr="00903F12">
        <w:rPr>
          <w:rFonts w:eastAsia="Calibri"/>
        </w:rPr>
        <w:t xml:space="preserve">2022 m. </w:t>
      </w:r>
      <w:r>
        <w:rPr>
          <w:rFonts w:eastAsia="Calibri"/>
        </w:rPr>
        <w:t xml:space="preserve">projektų </w:t>
      </w:r>
      <w:r w:rsidRPr="00903F12">
        <w:rPr>
          <w:rFonts w:eastAsia="Calibri"/>
        </w:rPr>
        <w:t>12-oje mobilumo veiklų dalyvavo 26 asmenys. Įvairiuose projektų sklaidos renginiuose dalyvavo bendrojo ugdymo mokyklų vadovai ir pavaduotojai ugdymui, mokytojai, švietimo pagalbos specialistai (iš viso 178 dalyviai).</w:t>
      </w:r>
    </w:p>
    <w:p w14:paraId="037D0751" w14:textId="77777777" w:rsidR="00B9596B" w:rsidRPr="00903F12" w:rsidRDefault="00B9596B" w:rsidP="00B9596B">
      <w:pPr>
        <w:ind w:firstLine="720"/>
        <w:jc w:val="both"/>
        <w:textAlignment w:val="baseline"/>
      </w:pPr>
      <w:r w:rsidRPr="00903F12">
        <w:t xml:space="preserve">Šiuo metu PŠKC tęsia koordinatoriaus įsipareigojimus viename </w:t>
      </w:r>
      <w:r w:rsidRPr="00903F12">
        <w:rPr>
          <w:color w:val="000000"/>
        </w:rPr>
        <w:t xml:space="preserve">„Erasmus+“ </w:t>
      </w:r>
      <w:r w:rsidRPr="00903F12">
        <w:t xml:space="preserve"> projekte </w:t>
      </w:r>
      <w:r w:rsidRPr="00903F12">
        <w:rPr>
          <w:color w:val="000000"/>
        </w:rPr>
        <w:t>„Socialinių simuliacijų sprendimai klimato kaitos</w:t>
      </w:r>
      <w:r>
        <w:rPr>
          <w:color w:val="000000"/>
        </w:rPr>
        <w:t xml:space="preserve"> poveikio supratimui didinti“ (</w:t>
      </w:r>
      <w:r w:rsidRPr="00557B8D">
        <w:rPr>
          <w:color w:val="000000"/>
        </w:rPr>
        <w:t>Nr. 2021-1-LT01-KA220-SCH-000023657),</w:t>
      </w:r>
      <w:r w:rsidRPr="00903F12">
        <w:rPr>
          <w:color w:val="000000"/>
        </w:rPr>
        <w:t xml:space="preserve"> kuris prasidėjo 2022 m. sausio mėn. ir baigsis 2023 liepos mėn., </w:t>
      </w:r>
      <w:r w:rsidRPr="00903F12">
        <w:t xml:space="preserve">ir kaip partneriai dvejuose naujai pradėtuose </w:t>
      </w:r>
      <w:r w:rsidRPr="00903F12">
        <w:rPr>
          <w:color w:val="000000"/>
        </w:rPr>
        <w:t xml:space="preserve">„Erasmus+“ </w:t>
      </w:r>
      <w:r w:rsidRPr="00903F12">
        <w:t xml:space="preserve"> projektuose: „Minkštųjų tarpasmeninių ir asmeninių įgūdžių, skirtų socialinėms kompetencijoms ugdyti, formavimas ir reikšmė“ </w:t>
      </w:r>
      <w:r>
        <w:t>(</w:t>
      </w:r>
      <w:r w:rsidRPr="003F4ADD">
        <w:t>Nr. 2021-1-ES01-KA220-SCH-000032494) (projektinės veiklos (20 mėn.) laikotarpiui skirta 14 670 Eur)  ir „Taršai neutralios mokyklos“ (Nr. 2022-1-LV01-KA220-SCH-0000874), projektinės veiklos (30 mėn.) laikotarpiui skirta 32200,0 Eur.</w:t>
      </w:r>
    </w:p>
    <w:p w14:paraId="6E8E6366" w14:textId="77777777" w:rsidR="00B9596B" w:rsidRPr="00903F12" w:rsidRDefault="00B9596B" w:rsidP="00B9596B">
      <w:pPr>
        <w:ind w:firstLine="720"/>
        <w:jc w:val="both"/>
        <w:textAlignment w:val="baseline"/>
      </w:pPr>
      <w:r w:rsidRPr="00903F12">
        <w:t>2022 m. spalio mėn. PŠKC pateikė 2 paraiškas naujų projektų finansavimui (laukiamas patvirtinimas)</w:t>
      </w:r>
      <w:r>
        <w:t>.</w:t>
      </w:r>
    </w:p>
    <w:p w14:paraId="67882A00" w14:textId="77777777" w:rsidR="00B9596B" w:rsidRPr="00903F12" w:rsidRDefault="00B9596B" w:rsidP="00B9596B">
      <w:pPr>
        <w:ind w:firstLine="720"/>
        <w:jc w:val="both"/>
        <w:textAlignment w:val="baseline"/>
      </w:pPr>
      <w:r w:rsidRPr="00903F12">
        <w:t>– įgyvendinant antrąjį uždavinį – teikti pagalbą švietimo įstaigoms – buvo užtikrintas bendrojo ugdymo mokyklų bibliotekų aptarnavimas, apibendrinti ir pateikti Klaipėdos miesto švietimo įstaigų bibliotekų 2022 m. statistinių ataskaitų duomenys LIBIS statistikos modulyje, mokyklos aprūpintos mokomąja literatūra ir mokykline dokumentacija.</w:t>
      </w:r>
    </w:p>
    <w:p w14:paraId="6DC03C35" w14:textId="77777777" w:rsidR="00B9596B" w:rsidRPr="00903F12" w:rsidRDefault="00B9596B" w:rsidP="00B9596B">
      <w:pPr>
        <w:ind w:firstLine="739"/>
        <w:jc w:val="both"/>
        <w:textAlignment w:val="baseline"/>
      </w:pPr>
      <w:r w:rsidRPr="00903F12">
        <w:rPr>
          <w:color w:val="000000"/>
          <w:shd w:val="clear" w:color="auto" w:fill="FFFFFF"/>
        </w:rPr>
        <w:t>2022 m. pasirašytos 8 bendradarbiavimo sutartys su Klaipėdos miesto lopšeliais-darželiais „Papartėlis“, „Pagrandukas“, „Versmė“, „</w:t>
      </w:r>
      <w:proofErr w:type="spellStart"/>
      <w:r w:rsidRPr="00903F12">
        <w:rPr>
          <w:color w:val="000000"/>
          <w:shd w:val="clear" w:color="auto" w:fill="FFFFFF"/>
        </w:rPr>
        <w:t>Sakalėlis</w:t>
      </w:r>
      <w:proofErr w:type="spellEnd"/>
      <w:r w:rsidRPr="00903F12">
        <w:rPr>
          <w:color w:val="000000"/>
          <w:shd w:val="clear" w:color="auto" w:fill="FFFFFF"/>
        </w:rPr>
        <w:t>“, Vitės progimnazija, VšĮ „Prof. A. Kliševičiaus kaligrafijos ir rašto meno mokykla“, Klaipėdos miesto savivaldybės etnokultūros centru, VšĮ „</w:t>
      </w:r>
      <w:proofErr w:type="spellStart"/>
      <w:r w:rsidRPr="00903F12">
        <w:rPr>
          <w:color w:val="000000"/>
          <w:shd w:val="clear" w:color="auto" w:fill="FFFFFF"/>
        </w:rPr>
        <w:t>Mindify</w:t>
      </w:r>
      <w:proofErr w:type="spellEnd"/>
      <w:r w:rsidRPr="00903F12">
        <w:rPr>
          <w:color w:val="000000"/>
          <w:shd w:val="clear" w:color="auto" w:fill="FFFFFF"/>
        </w:rPr>
        <w:t>“. </w:t>
      </w:r>
    </w:p>
    <w:p w14:paraId="02D2A0EA" w14:textId="77777777" w:rsidR="00B9596B" w:rsidRPr="00903F12" w:rsidRDefault="00B9596B" w:rsidP="00B9596B">
      <w:pPr>
        <w:ind w:firstLine="720"/>
        <w:jc w:val="both"/>
        <w:textAlignment w:val="baseline"/>
        <w:rPr>
          <w:rFonts w:ascii="Segoe UI" w:hAnsi="Segoe UI" w:cs="Segoe UI"/>
          <w:sz w:val="18"/>
          <w:szCs w:val="18"/>
        </w:rPr>
      </w:pPr>
      <w:r w:rsidRPr="00903F12">
        <w:t>Užtikrinant švietimo tyrimų ir individualizuotos švietimo darbuotojų mokymosi programos vykdymą, nupirktos 2 stažuočių Klaipėdos mieste programos (Šiaulių miesto ir Tauragės rajono savivaldybės). </w:t>
      </w:r>
    </w:p>
    <w:p w14:paraId="6573D499" w14:textId="77777777" w:rsidR="00B9596B" w:rsidRPr="00903F12" w:rsidRDefault="00B9596B" w:rsidP="00B9596B">
      <w:pPr>
        <w:ind w:firstLine="745"/>
        <w:jc w:val="both"/>
        <w:textAlignment w:val="baseline"/>
      </w:pPr>
      <w:r w:rsidRPr="008F6424">
        <w:rPr>
          <w:rFonts w:eastAsia="Calibri"/>
          <w:shd w:val="clear" w:color="auto" w:fill="FFFFFF"/>
        </w:rPr>
        <w:t>Rengiant „Tūkstantmečio mokyklos“ programą</w:t>
      </w:r>
      <w:r w:rsidRPr="00903F12">
        <w:rPr>
          <w:rFonts w:eastAsia="Calibri"/>
          <w:shd w:val="clear" w:color="auto" w:fill="FFFFFF"/>
        </w:rPr>
        <w:t>, kurios tikslas – prisidėti prie ugdymo kokybės gerinimo ir mokinių pasiekimų atotrūkio mažinimo savivaldybėje ir vadovaujantis Klaipėdos miesto savivaldybės administracijos direktoriaus įsakymais (2022-04-29 d. Nr. AD1-580, 2022-07-28 Nr. AD1-991) „Dėl pavedimo“ parengtas Klaipėdos miesto savivaldybės pažangos planas „Tūkstantmečio mokyklų“ programai įgyvendinti ir investicinis projektas, įgyvendinant „Tūkstantmečio mokyklų“ programos Klaipėdos miesto savivaldybės švietimo pažangos planą, kurio</w:t>
      </w:r>
      <w:r w:rsidRPr="00903F12">
        <w:rPr>
          <w:iCs/>
        </w:rPr>
        <w:t xml:space="preserve"> tikslas – numatyti ir pagrįsti lėšų poreikį </w:t>
      </w:r>
      <w:r w:rsidRPr="00903F12">
        <w:t>Pažangos plano priemonių įgyvendinimui. Minėti dokumentai pateikti Klaipėdos miesto savivaldybės grupei (2022-05-12 Nr. AD1-651) ir Europos socialinio fondo agentūrai.</w:t>
      </w:r>
    </w:p>
    <w:p w14:paraId="27AFD624" w14:textId="77777777" w:rsidR="00B9596B" w:rsidRPr="00903F12" w:rsidRDefault="00B9596B" w:rsidP="00B9596B">
      <w:pPr>
        <w:tabs>
          <w:tab w:val="left" w:pos="887"/>
        </w:tabs>
        <w:ind w:left="30" w:firstLine="573"/>
        <w:contextualSpacing/>
        <w:jc w:val="both"/>
        <w:rPr>
          <w:szCs w:val="20"/>
        </w:rPr>
      </w:pPr>
    </w:p>
    <w:p w14:paraId="1FB6E46B" w14:textId="77777777" w:rsidR="00B9596B" w:rsidRPr="00903F12" w:rsidRDefault="00B9596B" w:rsidP="00B9596B">
      <w:pPr>
        <w:ind w:firstLine="603"/>
        <w:jc w:val="both"/>
      </w:pPr>
      <w:r w:rsidRPr="00903F12">
        <w:t>2022 m. PŠKC finansinė situacija buvo tokia:</w:t>
      </w:r>
    </w:p>
    <w:tbl>
      <w:tblPr>
        <w:tblStyle w:val="Lentelstinklelis"/>
        <w:tblW w:w="0" w:type="auto"/>
        <w:tblLook w:val="04A0" w:firstRow="1" w:lastRow="0" w:firstColumn="1" w:lastColumn="0" w:noHBand="0" w:noVBand="1"/>
      </w:tblPr>
      <w:tblGrid>
        <w:gridCol w:w="2311"/>
        <w:gridCol w:w="1622"/>
        <w:gridCol w:w="1315"/>
        <w:gridCol w:w="1376"/>
        <w:gridCol w:w="3004"/>
      </w:tblGrid>
      <w:tr w:rsidR="00B9596B" w:rsidRPr="00903F12" w14:paraId="339B3828" w14:textId="77777777" w:rsidTr="00841BB7">
        <w:tc>
          <w:tcPr>
            <w:tcW w:w="0" w:type="auto"/>
            <w:vMerge w:val="restart"/>
            <w:tcBorders>
              <w:top w:val="single" w:sz="4" w:space="0" w:color="auto"/>
              <w:left w:val="single" w:sz="4" w:space="0" w:color="auto"/>
              <w:bottom w:val="single" w:sz="4" w:space="0" w:color="auto"/>
              <w:right w:val="single" w:sz="4" w:space="0" w:color="auto"/>
            </w:tcBorders>
            <w:hideMark/>
          </w:tcPr>
          <w:p w14:paraId="46659F55" w14:textId="77777777" w:rsidR="00B9596B" w:rsidRPr="00903F12" w:rsidRDefault="00B9596B" w:rsidP="00841BB7">
            <w:pPr>
              <w:jc w:val="center"/>
            </w:pPr>
            <w:r w:rsidRPr="00903F12">
              <w:t>Finansavimo šaltinis</w:t>
            </w:r>
          </w:p>
        </w:tc>
        <w:tc>
          <w:tcPr>
            <w:tcW w:w="0" w:type="auto"/>
            <w:gridSpan w:val="3"/>
            <w:tcBorders>
              <w:top w:val="single" w:sz="4" w:space="0" w:color="auto"/>
              <w:left w:val="single" w:sz="4" w:space="0" w:color="auto"/>
              <w:bottom w:val="single" w:sz="4" w:space="0" w:color="auto"/>
              <w:right w:val="single" w:sz="4" w:space="0" w:color="auto"/>
            </w:tcBorders>
            <w:hideMark/>
          </w:tcPr>
          <w:p w14:paraId="439E5E24" w14:textId="77777777" w:rsidR="00B9596B" w:rsidRPr="00903F12" w:rsidRDefault="00B9596B" w:rsidP="00841BB7">
            <w:pPr>
              <w:jc w:val="center"/>
            </w:pPr>
            <w:r w:rsidRPr="00903F12">
              <w:t>Lėšos (tūkst. eurų)</w:t>
            </w:r>
          </w:p>
        </w:tc>
        <w:tc>
          <w:tcPr>
            <w:tcW w:w="0" w:type="auto"/>
            <w:vMerge w:val="restart"/>
            <w:tcBorders>
              <w:top w:val="single" w:sz="4" w:space="0" w:color="auto"/>
              <w:left w:val="single" w:sz="4" w:space="0" w:color="auto"/>
              <w:right w:val="single" w:sz="4" w:space="0" w:color="auto"/>
            </w:tcBorders>
          </w:tcPr>
          <w:p w14:paraId="2D8E51E3" w14:textId="77777777" w:rsidR="00B9596B" w:rsidRPr="00903F12" w:rsidRDefault="00B9596B" w:rsidP="00841BB7">
            <w:pPr>
              <w:jc w:val="both"/>
            </w:pPr>
            <w:r w:rsidRPr="00903F12">
              <w:t>Pastabos</w:t>
            </w:r>
          </w:p>
          <w:p w14:paraId="47E83DE4" w14:textId="77777777" w:rsidR="00B9596B" w:rsidRPr="00903F12" w:rsidRDefault="00B9596B" w:rsidP="00841BB7">
            <w:pPr>
              <w:jc w:val="center"/>
            </w:pPr>
          </w:p>
        </w:tc>
      </w:tr>
      <w:tr w:rsidR="00B9596B" w:rsidRPr="00903F12" w14:paraId="18458392" w14:textId="77777777" w:rsidTr="00841BB7">
        <w:tc>
          <w:tcPr>
            <w:tcW w:w="0" w:type="auto"/>
            <w:vMerge/>
            <w:tcBorders>
              <w:top w:val="single" w:sz="4" w:space="0" w:color="auto"/>
              <w:left w:val="single" w:sz="4" w:space="0" w:color="auto"/>
              <w:bottom w:val="single" w:sz="4" w:space="0" w:color="auto"/>
              <w:right w:val="single" w:sz="4" w:space="0" w:color="auto"/>
            </w:tcBorders>
            <w:vAlign w:val="center"/>
            <w:hideMark/>
          </w:tcPr>
          <w:p w14:paraId="64C638AF" w14:textId="77777777" w:rsidR="00B9596B" w:rsidRPr="00903F12" w:rsidRDefault="00B9596B" w:rsidP="00841BB7">
            <w:pPr>
              <w:rPr>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23798FD5" w14:textId="77777777" w:rsidR="00B9596B" w:rsidRPr="00903F12" w:rsidRDefault="00B9596B" w:rsidP="00841BB7">
            <w:r w:rsidRPr="00903F12">
              <w:t>Planas (patikslintas)</w:t>
            </w:r>
          </w:p>
        </w:tc>
        <w:tc>
          <w:tcPr>
            <w:tcW w:w="0" w:type="auto"/>
            <w:tcBorders>
              <w:top w:val="single" w:sz="4" w:space="0" w:color="auto"/>
              <w:left w:val="single" w:sz="4" w:space="0" w:color="auto"/>
              <w:bottom w:val="single" w:sz="4" w:space="0" w:color="auto"/>
              <w:right w:val="single" w:sz="4" w:space="0" w:color="auto"/>
            </w:tcBorders>
            <w:hideMark/>
          </w:tcPr>
          <w:p w14:paraId="098F9455" w14:textId="77777777" w:rsidR="00B9596B" w:rsidRPr="00903F12" w:rsidRDefault="00B9596B" w:rsidP="00841BB7">
            <w:r w:rsidRPr="00903F12">
              <w:t>Panaudota lėšų</w:t>
            </w:r>
          </w:p>
        </w:tc>
        <w:tc>
          <w:tcPr>
            <w:tcW w:w="0" w:type="auto"/>
            <w:tcBorders>
              <w:top w:val="single" w:sz="4" w:space="0" w:color="auto"/>
              <w:left w:val="single" w:sz="4" w:space="0" w:color="auto"/>
              <w:bottom w:val="single" w:sz="4" w:space="0" w:color="auto"/>
              <w:right w:val="single" w:sz="4" w:space="0" w:color="auto"/>
            </w:tcBorders>
            <w:hideMark/>
          </w:tcPr>
          <w:p w14:paraId="643A2BF6" w14:textId="77777777" w:rsidR="00B9596B" w:rsidRPr="00903F12" w:rsidRDefault="00B9596B" w:rsidP="00841BB7">
            <w:r w:rsidRPr="00903F12">
              <w:t>Įvykdymas (%)</w:t>
            </w:r>
          </w:p>
        </w:tc>
        <w:tc>
          <w:tcPr>
            <w:tcW w:w="0" w:type="auto"/>
            <w:vMerge/>
            <w:tcBorders>
              <w:left w:val="single" w:sz="4" w:space="0" w:color="auto"/>
              <w:bottom w:val="single" w:sz="4" w:space="0" w:color="auto"/>
              <w:right w:val="single" w:sz="4" w:space="0" w:color="auto"/>
            </w:tcBorders>
          </w:tcPr>
          <w:p w14:paraId="26B56738" w14:textId="77777777" w:rsidR="00B9596B" w:rsidRPr="00903F12" w:rsidRDefault="00B9596B" w:rsidP="00841BB7"/>
        </w:tc>
      </w:tr>
      <w:tr w:rsidR="00B9596B" w:rsidRPr="00903F12" w14:paraId="22D0F04D" w14:textId="77777777" w:rsidTr="00841BB7">
        <w:trPr>
          <w:trHeight w:val="415"/>
        </w:trPr>
        <w:tc>
          <w:tcPr>
            <w:tcW w:w="0" w:type="auto"/>
            <w:tcBorders>
              <w:top w:val="single" w:sz="4" w:space="0" w:color="auto"/>
              <w:left w:val="single" w:sz="4" w:space="0" w:color="auto"/>
              <w:bottom w:val="single" w:sz="4" w:space="0" w:color="auto"/>
              <w:right w:val="single" w:sz="4" w:space="0" w:color="auto"/>
            </w:tcBorders>
            <w:hideMark/>
          </w:tcPr>
          <w:p w14:paraId="3DD542AB" w14:textId="77777777" w:rsidR="00B9596B" w:rsidRPr="00903F12" w:rsidRDefault="00B9596B" w:rsidP="00841BB7">
            <w:r w:rsidRPr="00903F12">
              <w:t>Savivaldybės biudžetas (SB)</w:t>
            </w:r>
          </w:p>
        </w:tc>
        <w:tc>
          <w:tcPr>
            <w:tcW w:w="0" w:type="auto"/>
            <w:tcBorders>
              <w:top w:val="single" w:sz="4" w:space="0" w:color="auto"/>
              <w:left w:val="single" w:sz="4" w:space="0" w:color="auto"/>
              <w:bottom w:val="single" w:sz="4" w:space="0" w:color="auto"/>
              <w:right w:val="single" w:sz="4" w:space="0" w:color="auto"/>
            </w:tcBorders>
          </w:tcPr>
          <w:p w14:paraId="396B70AA" w14:textId="77777777" w:rsidR="00B9596B" w:rsidRPr="00903F12" w:rsidRDefault="00B9596B" w:rsidP="00841BB7">
            <w:pPr>
              <w:jc w:val="center"/>
            </w:pPr>
            <w:r w:rsidRPr="00903F12">
              <w:t>367,1</w:t>
            </w:r>
          </w:p>
        </w:tc>
        <w:tc>
          <w:tcPr>
            <w:tcW w:w="0" w:type="auto"/>
            <w:tcBorders>
              <w:top w:val="single" w:sz="4" w:space="0" w:color="auto"/>
              <w:left w:val="single" w:sz="4" w:space="0" w:color="auto"/>
              <w:bottom w:val="single" w:sz="4" w:space="0" w:color="auto"/>
              <w:right w:val="single" w:sz="4" w:space="0" w:color="auto"/>
            </w:tcBorders>
          </w:tcPr>
          <w:p w14:paraId="69CDFBBA" w14:textId="77777777" w:rsidR="00B9596B" w:rsidRPr="00903F12" w:rsidRDefault="00B9596B" w:rsidP="00841BB7">
            <w:pPr>
              <w:jc w:val="center"/>
            </w:pPr>
            <w:r w:rsidRPr="00903F12">
              <w:t>365,6</w:t>
            </w:r>
          </w:p>
        </w:tc>
        <w:tc>
          <w:tcPr>
            <w:tcW w:w="0" w:type="auto"/>
            <w:tcBorders>
              <w:top w:val="single" w:sz="4" w:space="0" w:color="auto"/>
              <w:left w:val="single" w:sz="4" w:space="0" w:color="auto"/>
              <w:bottom w:val="single" w:sz="4" w:space="0" w:color="auto"/>
              <w:right w:val="single" w:sz="4" w:space="0" w:color="auto"/>
            </w:tcBorders>
          </w:tcPr>
          <w:p w14:paraId="1E3F03D6" w14:textId="77777777" w:rsidR="00B9596B" w:rsidRPr="00903F12" w:rsidRDefault="00B9596B" w:rsidP="00841BB7">
            <w:pPr>
              <w:jc w:val="center"/>
            </w:pPr>
            <w:r w:rsidRPr="00903F12">
              <w:t>96,6</w:t>
            </w:r>
          </w:p>
        </w:tc>
        <w:tc>
          <w:tcPr>
            <w:tcW w:w="0" w:type="auto"/>
            <w:tcBorders>
              <w:top w:val="single" w:sz="4" w:space="0" w:color="auto"/>
              <w:left w:val="single" w:sz="4" w:space="0" w:color="auto"/>
              <w:bottom w:val="single" w:sz="4" w:space="0" w:color="auto"/>
              <w:right w:val="single" w:sz="4" w:space="0" w:color="auto"/>
            </w:tcBorders>
          </w:tcPr>
          <w:p w14:paraId="7282E67B" w14:textId="77777777" w:rsidR="00B9596B" w:rsidRPr="00903F12" w:rsidRDefault="00B9596B" w:rsidP="00841BB7"/>
        </w:tc>
      </w:tr>
      <w:tr w:rsidR="00B9596B" w:rsidRPr="00903F12" w14:paraId="386A3E1A" w14:textId="77777777" w:rsidTr="00841BB7">
        <w:tc>
          <w:tcPr>
            <w:tcW w:w="0" w:type="auto"/>
            <w:tcBorders>
              <w:top w:val="single" w:sz="4" w:space="0" w:color="auto"/>
              <w:left w:val="single" w:sz="4" w:space="0" w:color="auto"/>
              <w:bottom w:val="single" w:sz="4" w:space="0" w:color="auto"/>
              <w:right w:val="single" w:sz="4" w:space="0" w:color="auto"/>
            </w:tcBorders>
            <w:hideMark/>
          </w:tcPr>
          <w:p w14:paraId="449F77F0" w14:textId="77777777" w:rsidR="00B9596B" w:rsidRPr="00903F12" w:rsidRDefault="00B9596B" w:rsidP="00841BB7">
            <w:r w:rsidRPr="00903F12">
              <w:t>Specialioji tikslinė dotacija (VB)</w:t>
            </w:r>
          </w:p>
        </w:tc>
        <w:tc>
          <w:tcPr>
            <w:tcW w:w="0" w:type="auto"/>
            <w:tcBorders>
              <w:top w:val="single" w:sz="4" w:space="0" w:color="auto"/>
              <w:left w:val="single" w:sz="4" w:space="0" w:color="auto"/>
              <w:bottom w:val="single" w:sz="4" w:space="0" w:color="auto"/>
              <w:right w:val="single" w:sz="4" w:space="0" w:color="auto"/>
            </w:tcBorders>
          </w:tcPr>
          <w:p w14:paraId="34C91458" w14:textId="77777777" w:rsidR="00B9596B" w:rsidRPr="00903F12" w:rsidRDefault="00B9596B" w:rsidP="00841BB7">
            <w:pPr>
              <w:jc w:val="center"/>
            </w:pPr>
            <w:r w:rsidRPr="00903F12">
              <w:t>5,3</w:t>
            </w:r>
          </w:p>
        </w:tc>
        <w:tc>
          <w:tcPr>
            <w:tcW w:w="0" w:type="auto"/>
            <w:tcBorders>
              <w:top w:val="single" w:sz="4" w:space="0" w:color="auto"/>
              <w:left w:val="single" w:sz="4" w:space="0" w:color="auto"/>
              <w:bottom w:val="single" w:sz="4" w:space="0" w:color="auto"/>
              <w:right w:val="single" w:sz="4" w:space="0" w:color="auto"/>
            </w:tcBorders>
          </w:tcPr>
          <w:p w14:paraId="211E4BDD" w14:textId="77777777" w:rsidR="00B9596B" w:rsidRPr="00903F12" w:rsidRDefault="00B9596B" w:rsidP="00841BB7">
            <w:pPr>
              <w:jc w:val="center"/>
            </w:pPr>
            <w:r w:rsidRPr="00903F12">
              <w:t>5,3</w:t>
            </w:r>
          </w:p>
        </w:tc>
        <w:tc>
          <w:tcPr>
            <w:tcW w:w="0" w:type="auto"/>
            <w:tcBorders>
              <w:top w:val="single" w:sz="4" w:space="0" w:color="auto"/>
              <w:left w:val="single" w:sz="4" w:space="0" w:color="auto"/>
              <w:bottom w:val="single" w:sz="4" w:space="0" w:color="auto"/>
              <w:right w:val="single" w:sz="4" w:space="0" w:color="auto"/>
            </w:tcBorders>
          </w:tcPr>
          <w:p w14:paraId="2251133C" w14:textId="77777777" w:rsidR="00B9596B" w:rsidRPr="00903F12" w:rsidRDefault="00B9596B" w:rsidP="00841BB7">
            <w:pPr>
              <w:jc w:val="center"/>
            </w:pPr>
            <w:r w:rsidRPr="00903F12">
              <w:t>100</w:t>
            </w:r>
          </w:p>
        </w:tc>
        <w:tc>
          <w:tcPr>
            <w:tcW w:w="0" w:type="auto"/>
            <w:tcBorders>
              <w:top w:val="single" w:sz="4" w:space="0" w:color="auto"/>
              <w:left w:val="single" w:sz="4" w:space="0" w:color="auto"/>
              <w:bottom w:val="single" w:sz="4" w:space="0" w:color="auto"/>
              <w:right w:val="single" w:sz="4" w:space="0" w:color="auto"/>
            </w:tcBorders>
          </w:tcPr>
          <w:p w14:paraId="1B5BB63F" w14:textId="77777777" w:rsidR="00B9596B" w:rsidRPr="007428EA" w:rsidRDefault="00B9596B" w:rsidP="00841BB7">
            <w:pPr>
              <w:rPr>
                <w:rFonts w:eastAsia="Calibri"/>
              </w:rPr>
            </w:pPr>
            <w:r w:rsidRPr="007428EA">
              <w:rPr>
                <w:rFonts w:eastAsia="Calibri"/>
              </w:rPr>
              <w:t>Klaipėdos moksleivių saviraiškos centras – 0,8</w:t>
            </w:r>
          </w:p>
          <w:p w14:paraId="286B535F" w14:textId="77777777" w:rsidR="00B9596B" w:rsidRPr="00903F12" w:rsidRDefault="00B9596B" w:rsidP="00841BB7">
            <w:r w:rsidRPr="007428EA">
              <w:rPr>
                <w:rFonts w:eastAsia="Calibri"/>
              </w:rPr>
              <w:t>Klaipėdos karalienės Luizės jaunimo centras – 4,5</w:t>
            </w:r>
          </w:p>
        </w:tc>
      </w:tr>
      <w:tr w:rsidR="00B9596B" w:rsidRPr="00903F12" w14:paraId="669DA794" w14:textId="77777777" w:rsidTr="00841BB7">
        <w:tc>
          <w:tcPr>
            <w:tcW w:w="0" w:type="auto"/>
            <w:tcBorders>
              <w:top w:val="single" w:sz="4" w:space="0" w:color="auto"/>
              <w:left w:val="single" w:sz="4" w:space="0" w:color="auto"/>
              <w:bottom w:val="single" w:sz="4" w:space="0" w:color="auto"/>
              <w:right w:val="single" w:sz="4" w:space="0" w:color="auto"/>
            </w:tcBorders>
            <w:hideMark/>
          </w:tcPr>
          <w:p w14:paraId="5EDD3613" w14:textId="77777777" w:rsidR="00B9596B" w:rsidRPr="00903F12" w:rsidRDefault="00B9596B" w:rsidP="00841BB7">
            <w:r w:rsidRPr="00903F12">
              <w:t>Įstaigos gautos pajamos (surinkta pajamų SP), iš jų:</w:t>
            </w:r>
          </w:p>
        </w:tc>
        <w:tc>
          <w:tcPr>
            <w:tcW w:w="0" w:type="auto"/>
            <w:tcBorders>
              <w:top w:val="single" w:sz="4" w:space="0" w:color="auto"/>
              <w:left w:val="single" w:sz="4" w:space="0" w:color="auto"/>
              <w:bottom w:val="single" w:sz="4" w:space="0" w:color="auto"/>
              <w:right w:val="single" w:sz="4" w:space="0" w:color="auto"/>
            </w:tcBorders>
          </w:tcPr>
          <w:p w14:paraId="67704D71" w14:textId="77777777" w:rsidR="00B9596B" w:rsidRPr="00903F12" w:rsidRDefault="00B9596B" w:rsidP="00841BB7">
            <w:pPr>
              <w:jc w:val="center"/>
            </w:pPr>
            <w:r w:rsidRPr="00903F12">
              <w:t>176,0</w:t>
            </w:r>
          </w:p>
        </w:tc>
        <w:tc>
          <w:tcPr>
            <w:tcW w:w="0" w:type="auto"/>
            <w:tcBorders>
              <w:top w:val="single" w:sz="4" w:space="0" w:color="auto"/>
              <w:left w:val="single" w:sz="4" w:space="0" w:color="auto"/>
              <w:bottom w:val="single" w:sz="4" w:space="0" w:color="auto"/>
              <w:right w:val="single" w:sz="4" w:space="0" w:color="auto"/>
            </w:tcBorders>
          </w:tcPr>
          <w:p w14:paraId="5A57E062" w14:textId="77777777" w:rsidR="00B9596B" w:rsidRPr="00903F12" w:rsidRDefault="00B9596B" w:rsidP="00841BB7">
            <w:pPr>
              <w:jc w:val="center"/>
            </w:pPr>
            <w:r w:rsidRPr="00903F12">
              <w:t>141,1</w:t>
            </w:r>
          </w:p>
        </w:tc>
        <w:tc>
          <w:tcPr>
            <w:tcW w:w="0" w:type="auto"/>
            <w:tcBorders>
              <w:top w:val="single" w:sz="4" w:space="0" w:color="auto"/>
              <w:left w:val="single" w:sz="4" w:space="0" w:color="auto"/>
              <w:bottom w:val="single" w:sz="4" w:space="0" w:color="auto"/>
              <w:right w:val="single" w:sz="4" w:space="0" w:color="auto"/>
            </w:tcBorders>
          </w:tcPr>
          <w:p w14:paraId="784804DC" w14:textId="77777777" w:rsidR="00B9596B" w:rsidRPr="00903F12" w:rsidRDefault="00B9596B" w:rsidP="00841BB7">
            <w:pPr>
              <w:jc w:val="center"/>
            </w:pPr>
            <w:r w:rsidRPr="00903F12">
              <w:t>80,2</w:t>
            </w:r>
          </w:p>
        </w:tc>
        <w:tc>
          <w:tcPr>
            <w:tcW w:w="0" w:type="auto"/>
            <w:tcBorders>
              <w:top w:val="single" w:sz="4" w:space="0" w:color="auto"/>
              <w:left w:val="single" w:sz="4" w:space="0" w:color="auto"/>
              <w:bottom w:val="single" w:sz="4" w:space="0" w:color="auto"/>
              <w:right w:val="single" w:sz="4" w:space="0" w:color="auto"/>
            </w:tcBorders>
          </w:tcPr>
          <w:p w14:paraId="7DEF7663" w14:textId="77777777" w:rsidR="00B9596B" w:rsidRPr="00903F12" w:rsidRDefault="00B9596B" w:rsidP="00841BB7"/>
        </w:tc>
      </w:tr>
      <w:tr w:rsidR="00B9596B" w:rsidRPr="00903F12" w14:paraId="34BBB967" w14:textId="77777777" w:rsidTr="00841BB7">
        <w:trPr>
          <w:trHeight w:val="477"/>
        </w:trPr>
        <w:tc>
          <w:tcPr>
            <w:tcW w:w="0" w:type="auto"/>
            <w:tcBorders>
              <w:top w:val="single" w:sz="4" w:space="0" w:color="auto"/>
              <w:left w:val="single" w:sz="4" w:space="0" w:color="auto"/>
              <w:bottom w:val="single" w:sz="4" w:space="0" w:color="auto"/>
              <w:right w:val="single" w:sz="4" w:space="0" w:color="auto"/>
            </w:tcBorders>
            <w:hideMark/>
          </w:tcPr>
          <w:p w14:paraId="4932BD18" w14:textId="77777777" w:rsidR="00B9596B" w:rsidRPr="00903F12" w:rsidRDefault="00B9596B" w:rsidP="00841BB7">
            <w:r w:rsidRPr="00903F12">
              <w:t>Pajamų išlaidos (SP)</w:t>
            </w:r>
          </w:p>
        </w:tc>
        <w:tc>
          <w:tcPr>
            <w:tcW w:w="0" w:type="auto"/>
            <w:tcBorders>
              <w:top w:val="single" w:sz="4" w:space="0" w:color="auto"/>
              <w:left w:val="single" w:sz="4" w:space="0" w:color="auto"/>
              <w:bottom w:val="single" w:sz="4" w:space="0" w:color="auto"/>
              <w:right w:val="single" w:sz="4" w:space="0" w:color="auto"/>
            </w:tcBorders>
            <w:hideMark/>
          </w:tcPr>
          <w:p w14:paraId="3A8D23E0" w14:textId="77777777" w:rsidR="00B9596B" w:rsidRPr="00903F12" w:rsidRDefault="00B9596B" w:rsidP="00841BB7">
            <w:pPr>
              <w:jc w:val="center"/>
            </w:pPr>
            <w:r w:rsidRPr="00903F12">
              <w:t>6,6</w:t>
            </w:r>
          </w:p>
        </w:tc>
        <w:tc>
          <w:tcPr>
            <w:tcW w:w="0" w:type="auto"/>
            <w:tcBorders>
              <w:top w:val="single" w:sz="4" w:space="0" w:color="auto"/>
              <w:left w:val="single" w:sz="4" w:space="0" w:color="auto"/>
              <w:bottom w:val="single" w:sz="4" w:space="0" w:color="auto"/>
              <w:right w:val="single" w:sz="4" w:space="0" w:color="auto"/>
            </w:tcBorders>
          </w:tcPr>
          <w:p w14:paraId="53A62044" w14:textId="77777777" w:rsidR="00B9596B" w:rsidRPr="00903F12" w:rsidRDefault="00B9596B" w:rsidP="00841BB7">
            <w:pPr>
              <w:jc w:val="center"/>
            </w:pPr>
            <w:r w:rsidRPr="00903F12">
              <w:t>6,6</w:t>
            </w:r>
          </w:p>
        </w:tc>
        <w:tc>
          <w:tcPr>
            <w:tcW w:w="0" w:type="auto"/>
            <w:tcBorders>
              <w:top w:val="single" w:sz="4" w:space="0" w:color="auto"/>
              <w:left w:val="single" w:sz="4" w:space="0" w:color="auto"/>
              <w:bottom w:val="single" w:sz="4" w:space="0" w:color="auto"/>
              <w:right w:val="single" w:sz="4" w:space="0" w:color="auto"/>
            </w:tcBorders>
          </w:tcPr>
          <w:p w14:paraId="2730AD04" w14:textId="77777777" w:rsidR="00B9596B" w:rsidRPr="00903F12" w:rsidRDefault="00B9596B" w:rsidP="00841BB7">
            <w:pPr>
              <w:jc w:val="center"/>
            </w:pPr>
            <w:r w:rsidRPr="00903F12">
              <w:t>100</w:t>
            </w:r>
          </w:p>
        </w:tc>
        <w:tc>
          <w:tcPr>
            <w:tcW w:w="0" w:type="auto"/>
            <w:tcBorders>
              <w:top w:val="single" w:sz="4" w:space="0" w:color="auto"/>
              <w:left w:val="single" w:sz="4" w:space="0" w:color="auto"/>
              <w:bottom w:val="single" w:sz="4" w:space="0" w:color="auto"/>
              <w:right w:val="single" w:sz="4" w:space="0" w:color="auto"/>
            </w:tcBorders>
          </w:tcPr>
          <w:p w14:paraId="116A43E7" w14:textId="77777777" w:rsidR="00B9596B" w:rsidRPr="00903F12" w:rsidRDefault="00B9596B" w:rsidP="00841BB7"/>
        </w:tc>
      </w:tr>
      <w:tr w:rsidR="00B9596B" w:rsidRPr="00903F12" w14:paraId="66DDACE9" w14:textId="77777777" w:rsidTr="00841BB7">
        <w:trPr>
          <w:trHeight w:val="125"/>
        </w:trPr>
        <w:tc>
          <w:tcPr>
            <w:tcW w:w="0" w:type="auto"/>
            <w:tcBorders>
              <w:top w:val="single" w:sz="4" w:space="0" w:color="auto"/>
              <w:left w:val="single" w:sz="4" w:space="0" w:color="auto"/>
              <w:bottom w:val="single" w:sz="4" w:space="0" w:color="auto"/>
              <w:right w:val="single" w:sz="4" w:space="0" w:color="auto"/>
            </w:tcBorders>
            <w:hideMark/>
          </w:tcPr>
          <w:p w14:paraId="20C47F02" w14:textId="77777777" w:rsidR="00B9596B" w:rsidRPr="00903F12" w:rsidRDefault="00B9596B" w:rsidP="00841BB7">
            <w:r w:rsidRPr="00903F12">
              <w:lastRenderedPageBreak/>
              <w:t>Projektų finansavimas (ES; VB;SB)</w:t>
            </w:r>
          </w:p>
        </w:tc>
        <w:tc>
          <w:tcPr>
            <w:tcW w:w="0" w:type="auto"/>
            <w:tcBorders>
              <w:top w:val="single" w:sz="4" w:space="0" w:color="auto"/>
              <w:left w:val="single" w:sz="4" w:space="0" w:color="auto"/>
              <w:bottom w:val="single" w:sz="4" w:space="0" w:color="auto"/>
              <w:right w:val="single" w:sz="4" w:space="0" w:color="auto"/>
            </w:tcBorders>
          </w:tcPr>
          <w:p w14:paraId="2D493A5B" w14:textId="77777777" w:rsidR="00B9596B" w:rsidRPr="00903F12" w:rsidRDefault="00B9596B" w:rsidP="00841BB7">
            <w:pPr>
              <w:jc w:val="center"/>
            </w:pPr>
            <w:r w:rsidRPr="00903F12">
              <w:t>142,6</w:t>
            </w:r>
          </w:p>
        </w:tc>
        <w:tc>
          <w:tcPr>
            <w:tcW w:w="0" w:type="auto"/>
            <w:tcBorders>
              <w:top w:val="single" w:sz="4" w:space="0" w:color="auto"/>
              <w:left w:val="single" w:sz="4" w:space="0" w:color="auto"/>
              <w:bottom w:val="single" w:sz="4" w:space="0" w:color="auto"/>
              <w:right w:val="single" w:sz="4" w:space="0" w:color="auto"/>
            </w:tcBorders>
          </w:tcPr>
          <w:p w14:paraId="6D508B99" w14:textId="77777777" w:rsidR="00B9596B" w:rsidRPr="00903F12" w:rsidRDefault="00B9596B" w:rsidP="00841BB7">
            <w:pPr>
              <w:jc w:val="center"/>
            </w:pPr>
            <w:r w:rsidRPr="00903F12">
              <w:t>123,2</w:t>
            </w:r>
          </w:p>
        </w:tc>
        <w:tc>
          <w:tcPr>
            <w:tcW w:w="0" w:type="auto"/>
            <w:tcBorders>
              <w:top w:val="single" w:sz="4" w:space="0" w:color="auto"/>
              <w:left w:val="single" w:sz="4" w:space="0" w:color="auto"/>
              <w:bottom w:val="single" w:sz="4" w:space="0" w:color="auto"/>
              <w:right w:val="single" w:sz="4" w:space="0" w:color="auto"/>
            </w:tcBorders>
          </w:tcPr>
          <w:p w14:paraId="460864EB" w14:textId="77777777" w:rsidR="00B9596B" w:rsidRPr="00903F12" w:rsidRDefault="00B9596B" w:rsidP="00841BB7">
            <w:pPr>
              <w:jc w:val="center"/>
            </w:pPr>
            <w:r w:rsidRPr="00903F12">
              <w:t>86,4</w:t>
            </w:r>
          </w:p>
        </w:tc>
        <w:tc>
          <w:tcPr>
            <w:tcW w:w="0" w:type="auto"/>
            <w:tcBorders>
              <w:top w:val="single" w:sz="4" w:space="0" w:color="auto"/>
              <w:left w:val="single" w:sz="4" w:space="0" w:color="auto"/>
              <w:bottom w:val="single" w:sz="4" w:space="0" w:color="auto"/>
              <w:right w:val="single" w:sz="4" w:space="0" w:color="auto"/>
            </w:tcBorders>
          </w:tcPr>
          <w:p w14:paraId="4B145A6C" w14:textId="77777777" w:rsidR="00B9596B" w:rsidRPr="00903F12" w:rsidRDefault="00B9596B" w:rsidP="00841BB7">
            <w:r w:rsidRPr="00903F12">
              <w:t xml:space="preserve">Nepanaudotas likutis 10,3 (pasikeitus partneriui bus pervestas </w:t>
            </w:r>
            <w:r w:rsidRPr="007A748B">
              <w:t>2023 m.</w:t>
            </w:r>
            <w:r w:rsidRPr="00903F12">
              <w:t xml:space="preserve"> pradžioje)</w:t>
            </w:r>
          </w:p>
        </w:tc>
      </w:tr>
      <w:tr w:rsidR="00B9596B" w:rsidRPr="00903F12" w14:paraId="5606DFE8" w14:textId="77777777" w:rsidTr="00841BB7">
        <w:tc>
          <w:tcPr>
            <w:tcW w:w="0" w:type="auto"/>
            <w:tcBorders>
              <w:top w:val="single" w:sz="4" w:space="0" w:color="auto"/>
              <w:left w:val="single" w:sz="4" w:space="0" w:color="auto"/>
              <w:bottom w:val="single" w:sz="4" w:space="0" w:color="auto"/>
              <w:right w:val="single" w:sz="4" w:space="0" w:color="auto"/>
            </w:tcBorders>
            <w:hideMark/>
          </w:tcPr>
          <w:p w14:paraId="613F5204" w14:textId="77777777" w:rsidR="00B9596B" w:rsidRPr="00903F12" w:rsidRDefault="00B9596B" w:rsidP="00841BB7">
            <w:r w:rsidRPr="00903F12">
              <w:t>Kitos lėšos (parama 1,2 % GPM ir kt.)</w:t>
            </w:r>
          </w:p>
        </w:tc>
        <w:tc>
          <w:tcPr>
            <w:tcW w:w="0" w:type="auto"/>
            <w:tcBorders>
              <w:top w:val="single" w:sz="4" w:space="0" w:color="auto"/>
              <w:left w:val="single" w:sz="4" w:space="0" w:color="auto"/>
              <w:bottom w:val="single" w:sz="4" w:space="0" w:color="auto"/>
              <w:right w:val="single" w:sz="4" w:space="0" w:color="auto"/>
            </w:tcBorders>
          </w:tcPr>
          <w:p w14:paraId="553A4875" w14:textId="77777777" w:rsidR="00B9596B" w:rsidRPr="00903F12" w:rsidRDefault="00B9596B" w:rsidP="00841BB7">
            <w:pPr>
              <w:jc w:val="center"/>
            </w:pPr>
            <w:r w:rsidRPr="00903F12">
              <w:t>1,1</w:t>
            </w:r>
          </w:p>
        </w:tc>
        <w:tc>
          <w:tcPr>
            <w:tcW w:w="0" w:type="auto"/>
            <w:tcBorders>
              <w:top w:val="single" w:sz="4" w:space="0" w:color="auto"/>
              <w:left w:val="single" w:sz="4" w:space="0" w:color="auto"/>
              <w:bottom w:val="single" w:sz="4" w:space="0" w:color="auto"/>
              <w:right w:val="single" w:sz="4" w:space="0" w:color="auto"/>
            </w:tcBorders>
          </w:tcPr>
          <w:p w14:paraId="37FA84A6" w14:textId="77777777" w:rsidR="00B9596B" w:rsidRPr="00903F12" w:rsidRDefault="00B9596B" w:rsidP="00841BB7">
            <w:pPr>
              <w:jc w:val="center"/>
            </w:pPr>
            <w:r w:rsidRPr="00903F12">
              <w:t>0,8</w:t>
            </w:r>
          </w:p>
        </w:tc>
        <w:tc>
          <w:tcPr>
            <w:tcW w:w="0" w:type="auto"/>
            <w:tcBorders>
              <w:top w:val="single" w:sz="4" w:space="0" w:color="auto"/>
              <w:left w:val="single" w:sz="4" w:space="0" w:color="auto"/>
              <w:bottom w:val="single" w:sz="4" w:space="0" w:color="auto"/>
              <w:right w:val="single" w:sz="4" w:space="0" w:color="auto"/>
            </w:tcBorders>
          </w:tcPr>
          <w:p w14:paraId="20BFAD79" w14:textId="77777777" w:rsidR="00B9596B" w:rsidRPr="00903F12" w:rsidRDefault="00B9596B" w:rsidP="00841BB7">
            <w:pPr>
              <w:jc w:val="center"/>
            </w:pPr>
            <w:r w:rsidRPr="00903F12">
              <w:t>72,7</w:t>
            </w:r>
          </w:p>
        </w:tc>
        <w:tc>
          <w:tcPr>
            <w:tcW w:w="0" w:type="auto"/>
            <w:tcBorders>
              <w:top w:val="single" w:sz="4" w:space="0" w:color="auto"/>
              <w:left w:val="single" w:sz="4" w:space="0" w:color="auto"/>
              <w:bottom w:val="single" w:sz="4" w:space="0" w:color="auto"/>
              <w:right w:val="single" w:sz="4" w:space="0" w:color="auto"/>
            </w:tcBorders>
          </w:tcPr>
          <w:p w14:paraId="746EB446" w14:textId="77777777" w:rsidR="00B9596B" w:rsidRPr="00903F12" w:rsidRDefault="00B9596B" w:rsidP="00841BB7"/>
        </w:tc>
      </w:tr>
      <w:tr w:rsidR="00B9596B" w:rsidRPr="00903F12" w14:paraId="6C1F6D83" w14:textId="77777777" w:rsidTr="00841BB7">
        <w:trPr>
          <w:trHeight w:val="430"/>
        </w:trPr>
        <w:tc>
          <w:tcPr>
            <w:tcW w:w="0" w:type="auto"/>
            <w:tcBorders>
              <w:top w:val="single" w:sz="4" w:space="0" w:color="auto"/>
              <w:left w:val="single" w:sz="4" w:space="0" w:color="auto"/>
              <w:bottom w:val="single" w:sz="4" w:space="0" w:color="auto"/>
              <w:right w:val="single" w:sz="4" w:space="0" w:color="auto"/>
            </w:tcBorders>
            <w:hideMark/>
          </w:tcPr>
          <w:p w14:paraId="60C8B87F" w14:textId="77777777" w:rsidR="00B9596B" w:rsidRPr="00903F12" w:rsidRDefault="00B9596B" w:rsidP="00841BB7">
            <w:r w:rsidRPr="00903F12">
              <w:t>Iš viso</w:t>
            </w:r>
          </w:p>
        </w:tc>
        <w:tc>
          <w:tcPr>
            <w:tcW w:w="0" w:type="auto"/>
            <w:tcBorders>
              <w:top w:val="single" w:sz="4" w:space="0" w:color="auto"/>
              <w:left w:val="single" w:sz="4" w:space="0" w:color="auto"/>
              <w:bottom w:val="single" w:sz="4" w:space="0" w:color="auto"/>
              <w:right w:val="single" w:sz="4" w:space="0" w:color="auto"/>
            </w:tcBorders>
          </w:tcPr>
          <w:p w14:paraId="0F5ACB96" w14:textId="77777777" w:rsidR="00B9596B" w:rsidRPr="00903F12" w:rsidRDefault="00B9596B" w:rsidP="00841BB7">
            <w:pPr>
              <w:jc w:val="center"/>
            </w:pPr>
            <w:r w:rsidRPr="00903F12">
              <w:t>537,1</w:t>
            </w:r>
          </w:p>
        </w:tc>
        <w:tc>
          <w:tcPr>
            <w:tcW w:w="0" w:type="auto"/>
            <w:tcBorders>
              <w:top w:val="single" w:sz="4" w:space="0" w:color="auto"/>
              <w:left w:val="single" w:sz="4" w:space="0" w:color="auto"/>
              <w:bottom w:val="single" w:sz="4" w:space="0" w:color="auto"/>
              <w:right w:val="single" w:sz="4" w:space="0" w:color="auto"/>
            </w:tcBorders>
          </w:tcPr>
          <w:p w14:paraId="2940FF1A" w14:textId="77777777" w:rsidR="00B9596B" w:rsidRPr="00903F12" w:rsidRDefault="00B9596B" w:rsidP="00841BB7">
            <w:pPr>
              <w:jc w:val="center"/>
            </w:pPr>
            <w:r w:rsidRPr="00903F12">
              <w:t>475,1</w:t>
            </w:r>
          </w:p>
        </w:tc>
        <w:tc>
          <w:tcPr>
            <w:tcW w:w="0" w:type="auto"/>
            <w:tcBorders>
              <w:top w:val="single" w:sz="4" w:space="0" w:color="auto"/>
              <w:left w:val="single" w:sz="4" w:space="0" w:color="auto"/>
              <w:bottom w:val="single" w:sz="4" w:space="0" w:color="auto"/>
              <w:right w:val="single" w:sz="4" w:space="0" w:color="auto"/>
            </w:tcBorders>
          </w:tcPr>
          <w:p w14:paraId="3D875878" w14:textId="77777777" w:rsidR="00B9596B" w:rsidRPr="00903F12" w:rsidRDefault="00B9596B" w:rsidP="00841BB7">
            <w:pPr>
              <w:jc w:val="center"/>
            </w:pPr>
          </w:p>
        </w:tc>
        <w:tc>
          <w:tcPr>
            <w:tcW w:w="0" w:type="auto"/>
            <w:tcBorders>
              <w:top w:val="single" w:sz="4" w:space="0" w:color="auto"/>
              <w:left w:val="single" w:sz="4" w:space="0" w:color="auto"/>
              <w:bottom w:val="single" w:sz="4" w:space="0" w:color="auto"/>
              <w:right w:val="single" w:sz="4" w:space="0" w:color="auto"/>
            </w:tcBorders>
          </w:tcPr>
          <w:p w14:paraId="0C59CD23" w14:textId="77777777" w:rsidR="00B9596B" w:rsidRPr="00903F12" w:rsidRDefault="00B9596B" w:rsidP="00841BB7"/>
        </w:tc>
      </w:tr>
      <w:tr w:rsidR="00B9596B" w:rsidRPr="00903F12" w14:paraId="5C7C0708" w14:textId="77777777" w:rsidTr="00841BB7">
        <w:tc>
          <w:tcPr>
            <w:tcW w:w="0" w:type="auto"/>
            <w:gridSpan w:val="3"/>
            <w:tcBorders>
              <w:top w:val="single" w:sz="4" w:space="0" w:color="auto"/>
              <w:left w:val="single" w:sz="4" w:space="0" w:color="auto"/>
              <w:bottom w:val="single" w:sz="4" w:space="0" w:color="auto"/>
              <w:right w:val="single" w:sz="4" w:space="0" w:color="auto"/>
            </w:tcBorders>
          </w:tcPr>
          <w:p w14:paraId="0CB92478" w14:textId="77777777" w:rsidR="00B9596B" w:rsidRPr="00903F12" w:rsidRDefault="00B9596B" w:rsidP="00841BB7">
            <w:r w:rsidRPr="00903F12">
              <w:t>Kreditinis įsiskolinimas (pagal visus finansavimo šaltinius) 202</w:t>
            </w:r>
            <w:r>
              <w:t>3</w:t>
            </w:r>
            <w:r w:rsidRPr="00903F12">
              <w:t xml:space="preserve"> m. sausio 1 d. </w:t>
            </w:r>
          </w:p>
        </w:tc>
        <w:tc>
          <w:tcPr>
            <w:tcW w:w="0" w:type="auto"/>
            <w:tcBorders>
              <w:top w:val="single" w:sz="4" w:space="0" w:color="auto"/>
              <w:left w:val="single" w:sz="4" w:space="0" w:color="auto"/>
              <w:bottom w:val="single" w:sz="4" w:space="0" w:color="auto"/>
              <w:right w:val="single" w:sz="4" w:space="0" w:color="auto"/>
            </w:tcBorders>
          </w:tcPr>
          <w:p w14:paraId="35B8B608" w14:textId="77777777" w:rsidR="00B9596B" w:rsidRPr="00903F12" w:rsidRDefault="00B9596B" w:rsidP="00841BB7"/>
        </w:tc>
        <w:tc>
          <w:tcPr>
            <w:tcW w:w="0" w:type="auto"/>
            <w:tcBorders>
              <w:top w:val="single" w:sz="4" w:space="0" w:color="auto"/>
              <w:left w:val="single" w:sz="4" w:space="0" w:color="auto"/>
              <w:bottom w:val="single" w:sz="4" w:space="0" w:color="auto"/>
              <w:right w:val="single" w:sz="4" w:space="0" w:color="auto"/>
            </w:tcBorders>
          </w:tcPr>
          <w:p w14:paraId="0A2C31B8" w14:textId="77777777" w:rsidR="00B9596B" w:rsidRPr="00903F12" w:rsidRDefault="00B9596B" w:rsidP="00841BB7">
            <w:r w:rsidRPr="00903F12">
              <w:t>Kreditinio įsiskolinimo nėra</w:t>
            </w:r>
          </w:p>
        </w:tc>
      </w:tr>
    </w:tbl>
    <w:p w14:paraId="1D2697AC" w14:textId="77777777" w:rsidR="00B9596B" w:rsidRPr="00903F12" w:rsidRDefault="00B9596B" w:rsidP="00B9596B"/>
    <w:p w14:paraId="6C956C2F" w14:textId="77777777" w:rsidR="00B9596B" w:rsidRPr="00903F12" w:rsidRDefault="00B9596B" w:rsidP="00B9596B">
      <w:pPr>
        <w:ind w:firstLine="1296"/>
        <w:jc w:val="both"/>
      </w:pPr>
      <w:r w:rsidRPr="00903F12">
        <w:t>Planuojant 2023 m. veiklą, PŠKC numato įgyvendinti šį prioritetą – kompetencijų tobulinimas, įgyvendinant šiuolaikinį ugdymo / mokymo turinį. Prioritetui įgyvendinti bus siekiama šių tikslų: 1) užtikrinti Mokytojų profesinio tobulėjimo paslaugų kokybę ir prieinamumą; 2) sudaryti sąlygas Klaipėdos miesto suaugusiesiems mokytis visą gyvenimą, teikti nuolatinę pagalbą Klaipėdos miesto švietimo įstaigų vadovams.</w:t>
      </w:r>
    </w:p>
    <w:p w14:paraId="3B644AF3" w14:textId="77777777" w:rsidR="00B9596B" w:rsidRPr="00903F12" w:rsidRDefault="00B9596B" w:rsidP="00B9596B"/>
    <w:p w14:paraId="119C1A22" w14:textId="77777777" w:rsidR="00B9596B" w:rsidRPr="00903F12" w:rsidRDefault="00B9596B" w:rsidP="00B9596B"/>
    <w:p w14:paraId="2CA33344" w14:textId="77777777" w:rsidR="00B9596B" w:rsidRDefault="00B9596B" w:rsidP="00B9596B">
      <w:r w:rsidRPr="00903F12">
        <w:t>Direktorė</w:t>
      </w:r>
      <w:r w:rsidRPr="00903F12">
        <w:tab/>
      </w:r>
      <w:r w:rsidRPr="00903F12">
        <w:tab/>
      </w:r>
      <w:r w:rsidRPr="00903F12">
        <w:tab/>
      </w:r>
      <w:r w:rsidRPr="00903F12">
        <w:tab/>
      </w:r>
      <w:r w:rsidRPr="00903F12">
        <w:tab/>
        <w:t xml:space="preserve">                   Raimonda Stirbienė</w:t>
      </w:r>
    </w:p>
    <w:p w14:paraId="70CC49B4" w14:textId="77777777" w:rsidR="004273F6" w:rsidRDefault="004273F6" w:rsidP="004273F6">
      <w:pPr>
        <w:jc w:val="both"/>
      </w:pPr>
    </w:p>
    <w:p w14:paraId="68346CD5" w14:textId="77777777" w:rsidR="004273F6" w:rsidRPr="00832CC9" w:rsidRDefault="004273F6" w:rsidP="004273F6">
      <w:pPr>
        <w:jc w:val="center"/>
      </w:pPr>
      <w:r>
        <w:t>_______________________</w:t>
      </w:r>
    </w:p>
    <w:sectPr w:rsidR="004273F6"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285A3" w14:textId="77777777" w:rsidR="001D4D63" w:rsidRDefault="001D4D63" w:rsidP="00D57F27">
      <w:r>
        <w:separator/>
      </w:r>
    </w:p>
  </w:endnote>
  <w:endnote w:type="continuationSeparator" w:id="0">
    <w:p w14:paraId="35F5E169" w14:textId="77777777"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01DB1" w14:textId="77777777" w:rsidR="001D4D63" w:rsidRDefault="001D4D63" w:rsidP="00D57F27">
      <w:r>
        <w:separator/>
      </w:r>
    </w:p>
  </w:footnote>
  <w:footnote w:type="continuationSeparator" w:id="0">
    <w:p w14:paraId="2849084C" w14:textId="77777777" w:rsidR="001D4D63" w:rsidRDefault="001D4D63"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6835741"/>
      <w:docPartObj>
        <w:docPartGallery w:val="Page Numbers (Top of Page)"/>
        <w:docPartUnique/>
      </w:docPartObj>
    </w:sdtPr>
    <w:sdtEndPr/>
    <w:sdtContent>
      <w:p w14:paraId="73AFE3D1" w14:textId="77777777" w:rsidR="00D57F27" w:rsidRDefault="00D57F27">
        <w:pPr>
          <w:pStyle w:val="Antrats"/>
          <w:jc w:val="center"/>
        </w:pPr>
        <w:r>
          <w:fldChar w:fldCharType="begin"/>
        </w:r>
        <w:r>
          <w:instrText>PAGE   \* MERGEFORMAT</w:instrText>
        </w:r>
        <w:r>
          <w:fldChar w:fldCharType="separate"/>
        </w:r>
        <w:r w:rsidR="00D42B72">
          <w:rPr>
            <w:noProof/>
          </w:rPr>
          <w:t>2</w:t>
        </w:r>
        <w:r>
          <w:fldChar w:fldCharType="end"/>
        </w:r>
      </w:p>
    </w:sdtContent>
  </w:sdt>
  <w:p w14:paraId="3DC3B1AD"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95C"/>
    <w:rsid w:val="0006079E"/>
    <w:rsid w:val="001D4D63"/>
    <w:rsid w:val="00343D40"/>
    <w:rsid w:val="004273F6"/>
    <w:rsid w:val="004476DD"/>
    <w:rsid w:val="004832C8"/>
    <w:rsid w:val="00597EE8"/>
    <w:rsid w:val="005F495C"/>
    <w:rsid w:val="00832CC9"/>
    <w:rsid w:val="008354D5"/>
    <w:rsid w:val="008E6E82"/>
    <w:rsid w:val="00973B53"/>
    <w:rsid w:val="00996C61"/>
    <w:rsid w:val="00AF7D08"/>
    <w:rsid w:val="00B16383"/>
    <w:rsid w:val="00B750B6"/>
    <w:rsid w:val="00B9596B"/>
    <w:rsid w:val="00C81B7B"/>
    <w:rsid w:val="00CA4D3B"/>
    <w:rsid w:val="00D42B72"/>
    <w:rsid w:val="00D57F27"/>
    <w:rsid w:val="00E33871"/>
    <w:rsid w:val="00E56A73"/>
    <w:rsid w:val="00E70645"/>
    <w:rsid w:val="00EC21AD"/>
    <w:rsid w:val="00F07E95"/>
    <w:rsid w:val="00F72A1E"/>
    <w:rsid w:val="00FB1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9178D"/>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11281</Words>
  <Characters>6431</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Sigita Muravjova</cp:lastModifiedBy>
  <cp:revision>3</cp:revision>
  <dcterms:created xsi:type="dcterms:W3CDTF">2023-05-04T08:23:00Z</dcterms:created>
  <dcterms:modified xsi:type="dcterms:W3CDTF">2023-05-04T08:23:00Z</dcterms:modified>
</cp:coreProperties>
</file>